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160"/>
        <w:spacing w:after="0" w:line="238" w:lineRule="auto"/>
        <w:rPr>
          <w:sz w:val="20"/>
          <w:szCs w:val="20"/>
          <w:color w:val="auto"/>
        </w:rPr>
      </w:pPr>
      <w:r>
        <w:rPr>
          <w:rFonts w:ascii="Courier New" w:cs="Courier New" w:eastAsia="Courier New" w:hAnsi="Courier New"/>
          <w:sz w:val="18"/>
          <w:szCs w:val="18"/>
          <w:color w:val="auto"/>
        </w:rPr>
        <w:t>(AMENDMENT NO. __4__)*</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Boise Cascade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097383103</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31, 2001</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spacing w:after="0"/>
              <w:rPr>
                <w:sz w:val="17"/>
                <w:szCs w:val="17"/>
                <w:color w:val="auto"/>
              </w:rPr>
            </w:pPr>
          </w:p>
        </w:tc>
        <w:tc>
          <w:tcPr>
            <w:tcW w:w="3040" w:type="dxa"/>
            <w:vAlign w:val="bottom"/>
          </w:tcPr>
          <w:p>
            <w:pPr>
              <w:ind w:left="84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16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CUSIP NO.097383103</w:t>
            </w:r>
          </w:p>
        </w:tc>
        <w:tc>
          <w:tcPr>
            <w:tcW w:w="19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13G</w:t>
            </w:r>
          </w:p>
        </w:tc>
        <w:tc>
          <w:tcPr>
            <w:tcW w:w="30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PAGE 2 OF 4 PAGES</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spacing w:after="0"/>
              <w:rPr>
                <w:sz w:val="17"/>
                <w:szCs w:val="17"/>
                <w:color w:val="auto"/>
              </w:rPr>
            </w:pPr>
          </w:p>
        </w:tc>
        <w:tc>
          <w:tcPr>
            <w:tcW w:w="30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2420" w:type="dxa"/>
            <w:vAlign w:val="bottom"/>
          </w:tcPr>
          <w:p>
            <w:pPr>
              <w:spacing w:after="0"/>
              <w:rPr>
                <w:sz w:val="20"/>
                <w:szCs w:val="20"/>
                <w:color w:val="auto"/>
              </w:rPr>
            </w:pPr>
            <w:r>
              <w:rPr>
                <w:rFonts w:ascii="Courier New" w:cs="Courier New" w:eastAsia="Courier New" w:hAnsi="Courier New"/>
                <w:sz w:val="18"/>
                <w:szCs w:val="18"/>
                <w:color w:val="auto"/>
              </w:rPr>
              <w:t>Dodge &amp; Cox</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94-1441976</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73"/>
              </w:rPr>
              <w:t>2</w:t>
            </w:r>
          </w:p>
        </w:tc>
        <w:tc>
          <w:tcPr>
            <w:tcW w:w="5840" w:type="dxa"/>
            <w:vAlign w:val="bottom"/>
          </w:tcPr>
          <w:p>
            <w:pPr>
              <w:ind w:left="2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800" w:type="dxa"/>
            <w:vAlign w:val="bottom"/>
          </w:tcPr>
          <w:p>
            <w:pPr>
              <w:ind w:left="4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36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California - U.S.A.</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06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3,786,110</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1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6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58,800</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6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1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106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4,109,599</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1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106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4,109,599</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7.1%</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4 PAGES</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Boise Cascade Corp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1111 W. Jefferson Street, PO Box 50</w:t>
      </w:r>
    </w:p>
    <w:p>
      <w:pPr>
        <w:ind w:left="1060"/>
        <w:spacing w:after="0"/>
        <w:tabs>
          <w:tab w:leader="none" w:pos="220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83728-0001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Dodge &amp; Cox</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 Address of the Principal Office or, if none, Residence: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One Sansome St., 35th Floor</w:t>
      </w:r>
    </w:p>
    <w:p>
      <w:pPr>
        <w:ind w:left="1060"/>
        <w:spacing w:after="0"/>
        <w:tabs>
          <w:tab w:leader="none" w:pos="304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California - U.S.A.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Common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097383103</w:t>
      </w:r>
    </w:p>
    <w:p>
      <w:pPr>
        <w:sectPr>
          <w:pgSz w:w="11900" w:h="16838" w:orient="portrait"/>
          <w:cols w:equalWidth="0" w:num="1">
            <w:col w:w="9159"/>
          </w:cols>
          <w:pgMar w:left="1300" w:top="717" w:right="1440" w:bottom="144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the Statement is being filed pursuant to Rule 13d-1(b), ---------------------------------------------------------- or 13d-2(b), check whether the person filing is a: -------------------------------------------------</w:t>
      </w:r>
    </w:p>
    <w:p>
      <w:pPr>
        <w:spacing w:after="0" w:line="200" w:lineRule="exact"/>
        <w:rPr>
          <w:sz w:val="20"/>
          <w:szCs w:val="20"/>
          <w:color w:val="auto"/>
        </w:rPr>
      </w:pPr>
    </w:p>
    <w:p>
      <w:pPr>
        <w:sectPr>
          <w:pgSz w:w="11900" w:h="16838" w:orient="portrait"/>
          <w:cols w:equalWidth="0" w:num="2">
            <w:col w:w="640" w:space="420"/>
            <w:col w:w="8099"/>
          </w:cols>
          <w:pgMar w:left="1300" w:top="717" w:right="1440" w:bottom="1440" w:gutter="0" w:footer="0" w:header="0"/>
          <w:type w:val="continuous"/>
        </w:sectPr>
      </w:pP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 [X]</w:t>
      </w:r>
    </w:p>
    <w:p>
      <w:pPr>
        <w:spacing w:after="0" w:line="20" w:lineRule="exact"/>
        <w:rPr>
          <w:sz w:val="20"/>
          <w:szCs w:val="20"/>
          <w:color w:val="auto"/>
        </w:rPr>
      </w:pPr>
      <w:r>
        <w:rPr>
          <w:sz w:val="20"/>
          <w:szCs w:val="20"/>
          <w:color w:val="auto"/>
        </w:rPr>
        <w:br w:type="column"/>
      </w:r>
    </w:p>
    <w:p>
      <w:pPr>
        <w:ind w:right="1879"/>
        <w:spacing w:after="0" w:line="235" w:lineRule="auto"/>
        <w:rPr>
          <w:sz w:val="20"/>
          <w:szCs w:val="20"/>
          <w:color w:val="auto"/>
        </w:rPr>
      </w:pPr>
      <w:r>
        <w:rPr>
          <w:rFonts w:ascii="Courier New" w:cs="Courier New" w:eastAsia="Courier New" w:hAnsi="Courier New"/>
          <w:sz w:val="18"/>
          <w:szCs w:val="18"/>
          <w:color w:val="auto"/>
        </w:rPr>
        <w:t>Investment Advisor registered under section 203 of the Investment Advisors Act of 1940</w:t>
      </w:r>
    </w:p>
    <w:p>
      <w:pPr>
        <w:spacing w:after="0" w:line="200" w:lineRule="exact"/>
        <w:rPr>
          <w:sz w:val="20"/>
          <w:szCs w:val="20"/>
          <w:color w:val="auto"/>
        </w:rPr>
      </w:pPr>
    </w:p>
    <w:p>
      <w:pPr>
        <w:sectPr>
          <w:pgSz w:w="11900" w:h="16838" w:orient="portrait"/>
          <w:cols w:equalWidth="0" w:num="2">
            <w:col w:w="1800" w:space="200"/>
            <w:col w:w="7159"/>
          </w:cols>
          <w:pgMar w:left="1300" w:top="717" w:right="1440" w:bottom="1440" w:gutter="0" w:footer="0" w:header="0"/>
          <w:type w:val="continuous"/>
        </w:sectPr>
      </w:pPr>
    </w:p>
    <w:p>
      <w:pPr>
        <w:spacing w:after="0" w:line="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580" w:hanging="525"/>
        <w:spacing w:after="0"/>
        <w:tabs>
          <w:tab w:leader="none" w:pos="15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4,109,599</w:t>
      </w:r>
    </w:p>
    <w:p>
      <w:pPr>
        <w:spacing w:after="0" w:line="201" w:lineRule="exact"/>
        <w:rPr>
          <w:rFonts w:ascii="Courier New" w:cs="Courier New" w:eastAsia="Courier New" w:hAnsi="Courier New"/>
          <w:sz w:val="16"/>
          <w:szCs w:val="16"/>
          <w:color w:val="auto"/>
        </w:rPr>
      </w:pPr>
    </w:p>
    <w:p>
      <w:pPr>
        <w:ind w:left="1580" w:hanging="525"/>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7.1%</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9159"/>
          </w:cols>
          <w:pgMar w:left="1300" w:top="717" w:right="1440" w:bottom="1440" w:gutter="0" w:footer="0" w:header="0"/>
          <w:type w:val="continuous"/>
        </w:sectPr>
      </w:pPr>
    </w:p>
    <w:bookmarkStart w:id="3" w:name="page4"/>
    <w:bookmarkEnd w:id="3"/>
    <w:p>
      <w:pPr>
        <w:ind w:left="2640" w:hanging="525"/>
        <w:spacing w:after="0"/>
        <w:tabs>
          <w:tab w:leader="none" w:pos="2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2640" w:right="3579" w:hanging="525"/>
        <w:spacing w:after="0" w:line="235" w:lineRule="auto"/>
        <w:tabs>
          <w:tab w:leader="none" w:pos="2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3,786,110</w:t>
      </w:r>
    </w:p>
    <w:p>
      <w:pPr>
        <w:spacing w:after="0" w:line="208" w:lineRule="exact"/>
        <w:rPr>
          <w:rFonts w:ascii="Courier New" w:cs="Courier New" w:eastAsia="Courier New" w:hAnsi="Courier New"/>
          <w:sz w:val="18"/>
          <w:szCs w:val="18"/>
          <w:color w:val="auto"/>
        </w:rPr>
      </w:pPr>
    </w:p>
    <w:p>
      <w:pPr>
        <w:ind w:left="2640" w:right="3359" w:hanging="630"/>
        <w:spacing w:after="0" w:line="235" w:lineRule="auto"/>
        <w:tabs>
          <w:tab w:leader="none" w:pos="2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58,800</w:t>
      </w:r>
    </w:p>
    <w:p>
      <w:pPr>
        <w:spacing w:after="0" w:line="208" w:lineRule="exact"/>
        <w:rPr>
          <w:rFonts w:ascii="Courier New" w:cs="Courier New" w:eastAsia="Courier New" w:hAnsi="Courier New"/>
          <w:sz w:val="18"/>
          <w:szCs w:val="18"/>
          <w:color w:val="auto"/>
        </w:rPr>
      </w:pPr>
    </w:p>
    <w:p>
      <w:pPr>
        <w:ind w:left="2640" w:right="3579" w:hanging="736"/>
        <w:spacing w:after="0" w:line="235" w:lineRule="auto"/>
        <w:tabs>
          <w:tab w:leader="none" w:pos="2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4,109,599</w:t>
      </w:r>
    </w:p>
    <w:p>
      <w:pPr>
        <w:spacing w:after="0" w:line="208" w:lineRule="exact"/>
        <w:rPr>
          <w:rFonts w:ascii="Courier New" w:cs="Courier New" w:eastAsia="Courier New" w:hAnsi="Courier New"/>
          <w:sz w:val="18"/>
          <w:szCs w:val="18"/>
          <w:color w:val="auto"/>
        </w:rPr>
      </w:pPr>
    </w:p>
    <w:p>
      <w:pPr>
        <w:ind w:left="2640" w:right="3359" w:hanging="630"/>
        <w:spacing w:after="0" w:line="235" w:lineRule="auto"/>
        <w:tabs>
          <w:tab w:leader="none" w:pos="2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ectPr>
          <w:pgSz w:w="11900" w:h="16838" w:orient="portrait"/>
          <w:cols w:equalWidth="0" w:num="1">
            <w:col w:w="10219"/>
          </w:cols>
          <w:pgMar w:left="240" w:top="723" w:right="1440" w:bottom="970" w:gutter="0" w:footer="0" w:header="0"/>
        </w:sectPr>
      </w:pPr>
    </w:p>
    <w:p>
      <w:pPr>
        <w:spacing w:after="0" w:line="200" w:lineRule="exact"/>
        <w:rPr>
          <w:sz w:val="20"/>
          <w:szCs w:val="20"/>
          <w:color w:val="auto"/>
        </w:rPr>
      </w:pPr>
    </w:p>
    <w:p>
      <w:pPr>
        <w:spacing w:after="0" w:line="21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Ownership of Five Percent or Less of a Class: -------------------------------------------- Not applicable.</w:t>
      </w:r>
    </w:p>
    <w:p>
      <w:pPr>
        <w:spacing w:after="0" w:line="200" w:lineRule="exact"/>
        <w:rPr>
          <w:sz w:val="20"/>
          <w:szCs w:val="20"/>
          <w:color w:val="auto"/>
        </w:rPr>
      </w:pPr>
    </w:p>
    <w:p>
      <w:pPr>
        <w:sectPr>
          <w:pgSz w:w="11900" w:h="16838" w:orient="portrait"/>
          <w:cols w:equalWidth="0" w:num="2">
            <w:col w:w="1700" w:space="420"/>
            <w:col w:w="8099"/>
          </w:cols>
          <w:pgMar w:left="240" w:top="723" w:right="1440" w:bottom="970" w:gutter="0" w:footer="0" w:header="0"/>
          <w:type w:val="continuous"/>
        </w:sectPr>
      </w:pP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More than Five Percent on Behalf of Another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Person:</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Securities reported on this Schedule 13G are beneficially</w:t>
      </w:r>
    </w:p>
    <w:p>
      <w:pPr>
        <w:spacing w:after="0"/>
        <w:rPr>
          <w:sz w:val="20"/>
          <w:szCs w:val="20"/>
          <w:color w:val="auto"/>
        </w:rPr>
      </w:pPr>
      <w:r>
        <w:rPr>
          <w:rFonts w:ascii="Courier New" w:cs="Courier New" w:eastAsia="Courier New" w:hAnsi="Courier New"/>
          <w:sz w:val="18"/>
          <w:szCs w:val="18"/>
          <w:color w:val="auto"/>
        </w:rPr>
        <w:t>owned by clients of Dodge &amp; Cox, which clients may include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companies registered under the Investment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 and/or employee benefit plans, pension funds, endowment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funds or other institutional clients.</w:t>
      </w:r>
    </w:p>
    <w:p>
      <w:pPr>
        <w:spacing w:after="0" w:line="200" w:lineRule="exact"/>
        <w:rPr>
          <w:sz w:val="20"/>
          <w:szCs w:val="20"/>
          <w:color w:val="auto"/>
        </w:rPr>
      </w:pPr>
    </w:p>
    <w:p>
      <w:pPr>
        <w:sectPr>
          <w:pgSz w:w="11900" w:h="16838" w:orient="portrait"/>
          <w:cols w:equalWidth="0" w:num="2">
            <w:col w:w="1700" w:space="420"/>
            <w:col w:w="8099"/>
          </w:cols>
          <w:pgMar w:left="240" w:top="723" w:right="1440" w:bottom="970" w:gutter="0" w:footer="0" w:header="0"/>
          <w:type w:val="continuous"/>
        </w:sectPr>
      </w:pP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Identification and Classification of the Subsidiary Which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Acquired the Security Being Reported on By the Parent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Holding Company:</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ectPr>
          <w:pgSz w:w="11900" w:h="16838" w:orient="portrait"/>
          <w:cols w:equalWidth="0" w:num="2">
            <w:col w:w="1700" w:space="420"/>
            <w:col w:w="8099"/>
          </w:cols>
          <w:pgMar w:left="240" w:top="723" w:right="1440" w:bottom="97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ind w:right="1999"/>
        <w:spacing w:after="0" w:line="236" w:lineRule="auto"/>
        <w:rPr>
          <w:sz w:val="20"/>
          <w:szCs w:val="20"/>
          <w:color w:val="auto"/>
        </w:rPr>
      </w:pPr>
      <w:r>
        <w:rPr>
          <w:rFonts w:ascii="Courier New" w:cs="Courier New" w:eastAsia="Courier New" w:hAnsi="Courier New"/>
          <w:sz w:val="18"/>
          <w:szCs w:val="18"/>
          <w:color w:val="auto"/>
        </w:rPr>
        <w:t>Identification and Classification of Members of the Group: --------------------------------------------------------- Not applicable.</w:t>
      </w:r>
    </w:p>
    <w:p>
      <w:pPr>
        <w:spacing w:after="0" w:line="200" w:lineRule="exact"/>
        <w:rPr>
          <w:sz w:val="20"/>
          <w:szCs w:val="20"/>
          <w:color w:val="auto"/>
        </w:rPr>
      </w:pPr>
    </w:p>
    <w:p>
      <w:pPr>
        <w:sectPr>
          <w:pgSz w:w="11900" w:h="16838" w:orient="portrait"/>
          <w:cols w:equalWidth="0" w:num="2">
            <w:col w:w="1700" w:space="420"/>
            <w:col w:w="8099"/>
          </w:cols>
          <w:pgMar w:left="240" w:top="723" w:right="1440" w:bottom="970" w:gutter="0" w:footer="0" w:header="0"/>
          <w:type w:val="continuous"/>
        </w:sectPr>
      </w:pP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Notice of Dissolution of a Group: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ectPr>
          <w:pgSz w:w="11900" w:h="16838" w:orient="portrait"/>
          <w:cols w:equalWidth="0" w:num="2">
            <w:col w:w="1700" w:space="420"/>
            <w:col w:w="8099"/>
          </w:cols>
          <w:pgMar w:left="240" w:top="723" w:right="1440" w:bottom="970" w:gutter="0" w:footer="0" w:header="0"/>
          <w:type w:val="continuous"/>
        </w:sectPr>
      </w:pP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Certification: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signing below I certify that, to the best of my knowledge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belief, the securities referred to above were acquired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ordinary course of business and were not acquired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purpose of and do not have the effect of changing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influencing the control of the issuer of such securities 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were not acquired in connection with or as a participant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transaction having such purpose or effect.</w:t>
      </w:r>
    </w:p>
    <w:p>
      <w:pPr>
        <w:spacing w:after="0" w:line="200" w:lineRule="exact"/>
        <w:rPr>
          <w:sz w:val="20"/>
          <w:szCs w:val="20"/>
          <w:color w:val="auto"/>
        </w:rPr>
      </w:pPr>
    </w:p>
    <w:p>
      <w:pPr>
        <w:sectPr>
          <w:pgSz w:w="11900" w:h="16838" w:orient="portrait"/>
          <w:cols w:equalWidth="0" w:num="2">
            <w:col w:w="1800" w:space="320"/>
            <w:col w:w="8099"/>
          </w:cols>
          <w:pgMar w:left="240" w:top="723" w:right="1440" w:bottom="970" w:gutter="0" w:footer="0" w:header="0"/>
          <w:type w:val="continuous"/>
        </w:sectPr>
      </w:pP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SIGNATURE</w:t>
      </w:r>
    </w:p>
    <w:p>
      <w:pPr>
        <w:sectPr>
          <w:pgSz w:w="11900" w:h="16838" w:orient="portrait"/>
          <w:cols w:equalWidth="0" w:num="1">
            <w:col w:w="10219"/>
          </w:cols>
          <w:pgMar w:left="240" w:top="723" w:right="1440" w:bottom="970" w:gutter="0" w:footer="0" w:header="0"/>
          <w:type w:val="continuous"/>
        </w:sectPr>
      </w:pPr>
    </w:p>
    <w:p>
      <w:pPr>
        <w:spacing w:after="0" w:line="224"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7, 2002</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DODGE &amp; COX</w:t>
      </w:r>
    </w:p>
    <w:p>
      <w:pPr>
        <w:spacing w:after="0" w:line="200" w:lineRule="exact"/>
        <w:rPr>
          <w:sz w:val="20"/>
          <w:szCs w:val="20"/>
          <w:color w:val="auto"/>
        </w:rPr>
      </w:pPr>
    </w:p>
    <w:p>
      <w:pPr>
        <w:ind w:left="4020"/>
        <w:spacing w:after="0"/>
        <w:tabs>
          <w:tab w:leader="none" w:pos="4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M. MISTELE</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Name:</w:t>
        <w:tab/>
        <w:t>Thomas M. Mistele</w:t>
      </w:r>
    </w:p>
    <w:p>
      <w:pPr>
        <w:ind w:left="4020"/>
        <w:spacing w:after="0" w:line="238" w:lineRule="auto"/>
        <w:tabs>
          <w:tab w:leader="none" w:pos="4840" w:val="left"/>
        </w:tabs>
        <w:rPr>
          <w:sz w:val="20"/>
          <w:szCs w:val="20"/>
          <w:color w:val="auto"/>
        </w:rPr>
      </w:pPr>
      <w:r>
        <w:rPr>
          <w:rFonts w:ascii="Courier New" w:cs="Courier New" w:eastAsia="Courier New" w:hAnsi="Courier New"/>
          <w:sz w:val="18"/>
          <w:szCs w:val="18"/>
          <w:color w:val="auto"/>
        </w:rPr>
        <w:t>Title:</w:t>
        <w:tab/>
        <w:t>Vice President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219"/>
      </w:cols>
      <w:pgMar w:left="240" w:top="723" w:right="1440" w:bottom="97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Roman"/>
      <w:start w:val="10"/>
    </w:lvl>
  </w:abstractNum>
  <w:abstractNum w:abstractNumId="3">
    <w:nsid w:val="5BD062C2"/>
    <w:multiLevelType w:val="hybridMultilevel"/>
    <w:lvl w:ilvl="0">
      <w:lvlJc w:val="left"/>
      <w:lvlText w:val="-"/>
      <w:numFmt w:val="bullet"/>
      <w:start w:val="1"/>
    </w:lvl>
    <w:lvl w:ilvl="1">
      <w:lvlJc w:val="left"/>
      <w:lvlText w:val="%2"/>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3"/>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2019-12-19T23:58:26Z</dcterms:created>
  <dcterms:modified xsi:type="dcterms:W3CDTF">2019-12-19T23:58:26Z</dcterms:modified>
</cp:coreProperties>
</file>