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DOCUMENT TYPE SC 13G/A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1</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BOISE CASCADE CORP.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097383103</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Not Applicable</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Not Applicable</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Not Applicable</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Not Applicable</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4"/>
          <w:szCs w:val="24"/>
          <w:color w:val="auto"/>
        </w:rPr>
      </w:pPr>
    </w:p>
    <w:p>
      <w:pPr>
        <w:ind w:left="400" w:hanging="392"/>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4"/>
          <w:szCs w:val="24"/>
          <w:color w:val="auto"/>
        </w:rPr>
      </w:pPr>
    </w:p>
    <w:p>
      <w:pPr>
        <w:ind w:right="7099" w:firstLine="8"/>
        <w:spacing w:after="0" w:line="500" w:lineRule="auto"/>
        <w:tabs>
          <w:tab w:leader="none" w:pos="38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 ITEM 1(a). NAME OF ISSUER:</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BOISE CASCADE CORP.</w:t>
      </w:r>
    </w:p>
    <w:p>
      <w:pPr>
        <w:spacing w:after="0" w:line="19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1(b). ADDRESS OF ISSUER'S EXECUTIVE OFFICES:</w:t>
      </w:r>
    </w:p>
    <w:p>
      <w:pPr>
        <w:spacing w:after="0" w:line="196" w:lineRule="exact"/>
        <w:rPr>
          <w:rFonts w:ascii="Courier New" w:cs="Courier New" w:eastAsia="Courier New" w:hAnsi="Courier New"/>
          <w:sz w:val="16"/>
          <w:szCs w:val="16"/>
          <w:color w:val="auto"/>
        </w:rPr>
      </w:pPr>
    </w:p>
    <w:p>
      <w:pPr>
        <w:ind w:right="2239"/>
        <w:spacing w:after="0" w:line="50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BOISE CASCADE CORP. 1111 West Jefferson Street P.O. Box 50 Boise, Idaho 83728-0001 ITEM 2(a). NAME OF PERSON FILING:</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Prudential Financial, Inc.</w:t>
      </w:r>
    </w:p>
    <w:p>
      <w:pPr>
        <w:spacing w:after="0" w:line="19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097383103</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Number of Shares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Beneficially Owned: Not Applicable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Percent of Class:</w:t>
      </w:r>
    </w:p>
    <w:p>
      <w:pPr>
        <w:sectPr>
          <w:pgSz w:w="11900" w:h="16890" w:orient="portrait"/>
          <w:cols w:equalWidth="0" w:num="1">
            <w:col w:w="10219"/>
          </w:cols>
          <w:pgMar w:left="240" w:top="24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2400" w:type="dxa"/>
            <w:vAlign w:val="bottom"/>
          </w:tcPr>
          <w:p>
            <w:pPr>
              <w:spacing w:after="0"/>
              <w:rPr>
                <w:sz w:val="20"/>
                <w:szCs w:val="20"/>
                <w:color w:val="auto"/>
              </w:rPr>
            </w:pPr>
            <w:r>
              <w:rPr>
                <w:rFonts w:ascii="Courier New" w:cs="Courier New" w:eastAsia="Courier New" w:hAnsi="Courier New"/>
                <w:sz w:val="16"/>
                <w:szCs w:val="16"/>
                <w:color w:val="auto"/>
              </w:rPr>
              <w:t>(c) Powers</w:t>
            </w: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rPr>
              <w:t>No. Of Shares</w:t>
            </w:r>
          </w:p>
        </w:tc>
      </w:tr>
      <w:tr>
        <w:trPr>
          <w:trHeight w:val="37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8"/>
        </w:trPr>
        <w:tc>
          <w:tcPr>
            <w:tcW w:w="2400" w:type="dxa"/>
            <w:vAlign w:val="bottom"/>
          </w:tcPr>
          <w:p>
            <w:pPr>
              <w:spacing w:after="0"/>
              <w:rPr>
                <w:sz w:val="20"/>
                <w:szCs w:val="20"/>
                <w:color w:val="auto"/>
              </w:rPr>
            </w:pPr>
            <w:r>
              <w:rPr>
                <w:rFonts w:ascii="Courier New" w:cs="Courier New" w:eastAsia="Courier New" w:hAnsi="Courier New"/>
                <w:sz w:val="16"/>
                <w:szCs w:val="16"/>
                <w:color w:val="auto"/>
              </w:rPr>
              <w:t>Sole power to vote or</w:t>
            </w: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rPr>
              <w:t>Not Applicable</w:t>
            </w:r>
          </w:p>
        </w:tc>
      </w:tr>
      <w:tr>
        <w:trPr>
          <w:trHeight w:val="189"/>
        </w:trPr>
        <w:tc>
          <w:tcPr>
            <w:tcW w:w="2400" w:type="dxa"/>
            <w:vAlign w:val="bottom"/>
          </w:tcPr>
          <w:p>
            <w:pPr>
              <w:spacing w:after="0"/>
              <w:rPr>
                <w:sz w:val="20"/>
                <w:szCs w:val="20"/>
                <w:color w:val="auto"/>
              </w:rPr>
            </w:pPr>
            <w:r>
              <w:rPr>
                <w:rFonts w:ascii="Courier New" w:cs="Courier New" w:eastAsia="Courier New" w:hAnsi="Courier New"/>
                <w:sz w:val="16"/>
                <w:szCs w:val="16"/>
                <w:color w:val="auto"/>
              </w:rPr>
              <w:t>to direct the vote</w:t>
            </w:r>
          </w:p>
        </w:tc>
        <w:tc>
          <w:tcPr>
            <w:tcW w:w="1980" w:type="dxa"/>
            <w:vAlign w:val="bottom"/>
          </w:tcPr>
          <w:p>
            <w:pPr>
              <w:spacing w:after="0"/>
              <w:rPr>
                <w:sz w:val="16"/>
                <w:szCs w:val="16"/>
                <w:color w:val="auto"/>
              </w:rPr>
            </w:pPr>
          </w:p>
        </w:tc>
      </w:tr>
      <w:tr>
        <w:trPr>
          <w:trHeight w:val="378"/>
        </w:trPr>
        <w:tc>
          <w:tcPr>
            <w:tcW w:w="2400" w:type="dxa"/>
            <w:vAlign w:val="bottom"/>
          </w:tcPr>
          <w:p>
            <w:pPr>
              <w:spacing w:after="0"/>
              <w:rPr>
                <w:sz w:val="20"/>
                <w:szCs w:val="20"/>
                <w:color w:val="auto"/>
              </w:rPr>
            </w:pPr>
            <w:r>
              <w:rPr>
                <w:rFonts w:ascii="Courier New" w:cs="Courier New" w:eastAsia="Courier New" w:hAnsi="Courier New"/>
                <w:sz w:val="16"/>
                <w:szCs w:val="16"/>
                <w:color w:val="auto"/>
              </w:rPr>
              <w:t>Shared power to vote or</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Not Applicable</w:t>
            </w:r>
          </w:p>
        </w:tc>
      </w:tr>
      <w:tr>
        <w:trPr>
          <w:trHeight w:val="189"/>
        </w:trPr>
        <w:tc>
          <w:tcPr>
            <w:tcW w:w="2400" w:type="dxa"/>
            <w:vAlign w:val="bottom"/>
          </w:tcPr>
          <w:p>
            <w:pPr>
              <w:spacing w:after="0"/>
              <w:rPr>
                <w:sz w:val="20"/>
                <w:szCs w:val="20"/>
                <w:color w:val="auto"/>
              </w:rPr>
            </w:pPr>
            <w:r>
              <w:rPr>
                <w:rFonts w:ascii="Courier New" w:cs="Courier New" w:eastAsia="Courier New" w:hAnsi="Courier New"/>
                <w:sz w:val="16"/>
                <w:szCs w:val="16"/>
                <w:color w:val="auto"/>
              </w:rPr>
              <w:t>to direct the vote</w:t>
            </w:r>
          </w:p>
        </w:tc>
        <w:tc>
          <w:tcPr>
            <w:tcW w:w="1980" w:type="dxa"/>
            <w:vAlign w:val="bottom"/>
          </w:tcPr>
          <w:p>
            <w:pPr>
              <w:spacing w:after="0"/>
              <w:rPr>
                <w:sz w:val="16"/>
                <w:szCs w:val="16"/>
                <w:color w:val="auto"/>
              </w:rPr>
            </w:pPr>
          </w:p>
        </w:tc>
      </w:tr>
      <w:tr>
        <w:trPr>
          <w:trHeight w:val="378"/>
        </w:trPr>
        <w:tc>
          <w:tcPr>
            <w:tcW w:w="2400" w:type="dxa"/>
            <w:vAlign w:val="bottom"/>
          </w:tcPr>
          <w:p>
            <w:pPr>
              <w:spacing w:after="0"/>
              <w:rPr>
                <w:sz w:val="20"/>
                <w:szCs w:val="20"/>
                <w:color w:val="auto"/>
              </w:rPr>
            </w:pPr>
            <w:r>
              <w:rPr>
                <w:rFonts w:ascii="Courier New" w:cs="Courier New" w:eastAsia="Courier New" w:hAnsi="Courier New"/>
                <w:sz w:val="16"/>
                <w:szCs w:val="16"/>
                <w:color w:val="auto"/>
              </w:rPr>
              <w:t>Sole power to dispose or</w:t>
            </w:r>
          </w:p>
        </w:tc>
        <w:tc>
          <w:tcPr>
            <w:tcW w:w="1980" w:type="dxa"/>
            <w:vAlign w:val="bottom"/>
          </w:tcPr>
          <w:p>
            <w:pPr>
              <w:ind w:left="240"/>
              <w:spacing w:after="0"/>
              <w:rPr>
                <w:sz w:val="20"/>
                <w:szCs w:val="20"/>
                <w:color w:val="auto"/>
              </w:rPr>
            </w:pPr>
            <w:r>
              <w:rPr>
                <w:rFonts w:ascii="Courier New" w:cs="Courier New" w:eastAsia="Courier New" w:hAnsi="Courier New"/>
                <w:sz w:val="16"/>
                <w:szCs w:val="16"/>
                <w:color w:val="auto"/>
              </w:rPr>
              <w:t>Not Applicable</w:t>
            </w:r>
          </w:p>
        </w:tc>
      </w:tr>
      <w:tr>
        <w:trPr>
          <w:trHeight w:val="189"/>
        </w:trPr>
        <w:tc>
          <w:tcPr>
            <w:tcW w:w="2400" w:type="dxa"/>
            <w:vAlign w:val="bottom"/>
          </w:tcPr>
          <w:p>
            <w:pPr>
              <w:spacing w:after="0"/>
              <w:rPr>
                <w:sz w:val="20"/>
                <w:szCs w:val="20"/>
                <w:color w:val="auto"/>
              </w:rPr>
            </w:pPr>
            <w:r>
              <w:rPr>
                <w:rFonts w:ascii="Courier New" w:cs="Courier New" w:eastAsia="Courier New" w:hAnsi="Courier New"/>
                <w:sz w:val="16"/>
                <w:szCs w:val="16"/>
                <w:color w:val="auto"/>
              </w:rPr>
              <w:t>to direct disposition</w:t>
            </w:r>
          </w:p>
        </w:tc>
        <w:tc>
          <w:tcPr>
            <w:tcW w:w="1980" w:type="dxa"/>
            <w:vAlign w:val="bottom"/>
          </w:tcPr>
          <w:p>
            <w:pPr>
              <w:spacing w:after="0"/>
              <w:rPr>
                <w:sz w:val="16"/>
                <w:szCs w:val="16"/>
                <w:color w:val="auto"/>
              </w:rPr>
            </w:pPr>
          </w:p>
        </w:tc>
      </w:tr>
      <w:tr>
        <w:trPr>
          <w:trHeight w:val="378"/>
        </w:trPr>
        <w:tc>
          <w:tcPr>
            <w:tcW w:w="2400" w:type="dxa"/>
            <w:vAlign w:val="bottom"/>
          </w:tcPr>
          <w:p>
            <w:pPr>
              <w:spacing w:after="0"/>
              <w:rPr>
                <w:sz w:val="20"/>
                <w:szCs w:val="20"/>
                <w:color w:val="auto"/>
              </w:rPr>
            </w:pPr>
            <w:r>
              <w:rPr>
                <w:rFonts w:ascii="Courier New" w:cs="Courier New" w:eastAsia="Courier New" w:hAnsi="Courier New"/>
                <w:sz w:val="16"/>
                <w:szCs w:val="16"/>
                <w:color w:val="auto"/>
              </w:rPr>
              <w:t>Shared power to dispose</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Not Applicable</w:t>
            </w:r>
          </w:p>
        </w:tc>
      </w:tr>
      <w:tr>
        <w:trPr>
          <w:trHeight w:val="189"/>
        </w:trPr>
        <w:tc>
          <w:tcPr>
            <w:tcW w:w="2400" w:type="dxa"/>
            <w:vAlign w:val="bottom"/>
          </w:tcPr>
          <w:p>
            <w:pPr>
              <w:spacing w:after="0"/>
              <w:rPr>
                <w:sz w:val="20"/>
                <w:szCs w:val="20"/>
                <w:color w:val="auto"/>
              </w:rPr>
            </w:pPr>
            <w:r>
              <w:rPr>
                <w:rFonts w:ascii="Courier New" w:cs="Courier New" w:eastAsia="Courier New" w:hAnsi="Courier New"/>
                <w:sz w:val="16"/>
                <w:szCs w:val="16"/>
                <w:color w:val="auto"/>
              </w:rPr>
              <w:t>or to direct disposition</w:t>
            </w:r>
          </w:p>
        </w:tc>
        <w:tc>
          <w:tcPr>
            <w:tcW w:w="1980" w:type="dxa"/>
            <w:vAlign w:val="bottom"/>
          </w:tcPr>
          <w:p>
            <w:pPr>
              <w:spacing w:after="0"/>
              <w:rPr>
                <w:sz w:val="16"/>
                <w:szCs w:val="16"/>
                <w:color w:val="auto"/>
              </w:rPr>
            </w:pP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line="252" w:lineRule="auto"/>
        <w:rPr>
          <w:sz w:val="20"/>
          <w:szCs w:val="20"/>
          <w:color w:val="auto"/>
        </w:rPr>
      </w:pPr>
      <w:r>
        <w:rPr>
          <w:rFonts w:ascii="Courier New" w:cs="Courier New" w:eastAsia="Courier New" w:hAnsi="Courier New"/>
          <w:sz w:val="16"/>
          <w:szCs w:val="16"/>
          <w:color w:val="auto"/>
        </w:rPr>
        <w:t>Prudential Financial, Inc. through its beneficial ownership of the Item 7 listed entities has ceased to be deemed the beneficial owner of more than 5% of the outstanding Common Stock of this issuer.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ind w:right="3700"/>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3880"/>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4080"/>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Ellen McGlynn Koke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02/13/2002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12/31/2001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w:t>
      </w:r>
    </w:p>
    <w:p>
      <w:pPr>
        <w:spacing w:after="0" w:line="359"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6"/>
          <w:szCs w:val="16"/>
          <w:color w:val="auto"/>
        </w:rPr>
        <w:t>Prior filings with respect to this issuer were made by the Prudential Insurance Company of America.</w:t>
      </w:r>
    </w:p>
    <w:p>
      <w:pPr>
        <w:sectPr>
          <w:pgSz w:w="11900" w:h="16838" w:orient="portrait"/>
          <w:cols w:equalWidth="0" w:num="1">
            <w:col w:w="11380"/>
          </w:cols>
          <w:pgMar w:left="240" w:top="680" w:right="279" w:bottom="249"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197" w:lineRule="exact"/>
        <w:rPr>
          <w:sz w:val="20"/>
          <w:szCs w:val="20"/>
          <w:color w:val="auto"/>
        </w:rPr>
      </w:pPr>
    </w:p>
    <w:p>
      <w:pPr>
        <w:spacing w:after="0" w:line="252" w:lineRule="auto"/>
        <w:rPr>
          <w:sz w:val="20"/>
          <w:szCs w:val="20"/>
          <w:color w:val="auto"/>
        </w:rPr>
      </w:pPr>
      <w:r>
        <w:rPr>
          <w:rFonts w:ascii="Courier New" w:cs="Courier New" w:eastAsia="Courier New" w:hAnsi="Courier New"/>
          <w:sz w:val="16"/>
          <w:szCs w:val="16"/>
          <w:color w:val="auto"/>
        </w:rPr>
        <w:t>Prudential Financial, Inc. is a Parent Holding Company and the direct or indirect parent of the following Registered Investment Advisers and Broker Dealers:</w:t>
      </w:r>
    </w:p>
    <w:p>
      <w:pPr>
        <w:sectPr>
          <w:pgSz w:w="11900" w:h="16838" w:orient="portrait"/>
          <w:cols w:equalWidth="0" w:num="1">
            <w:col w:w="11280"/>
          </w:cols>
          <w:pgMar w:left="24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Prudential Investment Management, Inc.</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Jennison Associates LLC</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Prudential Securities Incorporated</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The Prudential Asset Management Company, Inc.</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Enhanced Investment Technologies, Inc.</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Prudential Investments LLC</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Prudential Home Building Investment Advisers, L.P.</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Prudential Private Placement Investors, L.P.</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Prudential Equity Investors, Inc.</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PRUCO Securities Corporation</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Wexford Clearing Services Corporation</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The Prudential Savings Bank, F.S.B.</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Hochman &amp; Baker Investment Advisory Services, Inc.</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GRA (Bermuda) Limited</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Prudential Asset Management Japan</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PRICOA Property Investment Management Limited</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Prudential Investment Management Services LLC</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b w:val="1"/>
          <w:bCs w:val="1"/>
          <w:color w:val="auto"/>
        </w:rPr>
        <w:t>Hochman &amp; Baker Securities,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IC,IA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IA,BD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IA,PN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IA,PN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IA,BD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IA,BD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BD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BD</w:t>
      </w:r>
    </w:p>
    <w:sectPr>
      <w:pgSz w:w="11900" w:h="16838" w:orient="portrait"/>
      <w:cols w:equalWidth="0" w:num="2">
        <w:col w:w="5940" w:space="200"/>
        <w:col w:w="5140"/>
      </w:cols>
      <w:pgMar w:left="240" w:top="14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0"/>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2019-12-20T15:13:53Z</dcterms:created>
  <dcterms:modified xsi:type="dcterms:W3CDTF">2019-12-20T15:13:53Z</dcterms:modified>
</cp:coreProperties>
</file>