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jc w:val="center"/>
        <w:ind w:left="360"/>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-5715</wp:posOffset>
            </wp:positionV>
            <wp:extent cx="144780" cy="195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780" cy="195580"/>
                    </a:xfrm>
                    <a:prstGeom prst="rect">
                      <a:avLst/>
                    </a:prstGeom>
                    <a:noFill/>
                  </pic:spPr>
                </pic:pic>
              </a:graphicData>
            </a:graphic>
          </wp:anchor>
        </w:drawing>
      </w:r>
    </w:p>
    <w:p>
      <w:pPr>
        <w:jc w:val="both"/>
        <w:ind w:left="360" w:right="360" w:hanging="272"/>
        <w:spacing w:after="0" w:line="187"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33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835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835265"/>
                    </a:xfrm>
                    <a:prstGeom prst="rect">
                      <a:avLst/>
                    </a:prstGeom>
                    <a:noFill/>
                  </pic:spPr>
                </pic:pic>
              </a:graphicData>
            </a:graphic>
          </wp:anchor>
        </w:drawing>
      </w:r>
    </w:p>
    <w:p>
      <w:pPr>
        <w:spacing w:after="0" w:line="41" w:lineRule="exact"/>
        <w:rPr>
          <w:sz w:val="24"/>
          <w:szCs w:val="24"/>
          <w:color w:val="auto"/>
        </w:rPr>
      </w:pPr>
    </w:p>
    <w:p>
      <w:pPr>
        <w:sectPr>
          <w:pgSz w:w="11900" w:h="16910" w:orient="portrait"/>
          <w:cols w:equalWidth="0" w:num="2">
            <w:col w:w="2320" w:space="340"/>
            <w:col w:w="8860"/>
          </w:cols>
          <w:pgMar w:left="240" w:top="225" w:right="139" w:bottom="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240" w:type="dxa"/>
            <w:vAlign w:val="bottom"/>
            <w:gridSpan w:val="2"/>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Hartley Larry</w:t>
              </w:r>
            </w:hyperlink>
          </w:p>
        </w:tc>
        <w:tc>
          <w:tcPr>
            <w:tcW w:w="1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MAPLEBY HOLDINGS MERGER Corp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3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3980" w:type="dxa"/>
            <w:vAlign w:val="bottom"/>
            <w:gridSpan w:val="3"/>
            <w:vMerge w:val="restart"/>
          </w:tcPr>
          <w:p>
            <w:pPr>
              <w:ind w:left="80"/>
              <w:spacing w:after="0"/>
              <w:rPr>
                <w:sz w:val="20"/>
                <w:szCs w:val="20"/>
                <w:color w:val="auto"/>
              </w:rPr>
            </w:pPr>
            <w:r>
              <w:rPr>
                <w:rFonts w:ascii="Arial" w:cs="Arial" w:eastAsia="Arial" w:hAnsi="Arial"/>
                <w:sz w:val="17"/>
                <w:szCs w:val="17"/>
                <w:color w:val="0000FF"/>
              </w:rPr>
              <w:t xml:space="preserve">OMX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39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24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60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980" w:type="dxa"/>
            <w:vAlign w:val="bottom"/>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3800" w:type="dxa"/>
            <w:vAlign w:val="bottom"/>
            <w:gridSpan w:val="4"/>
            <w:vMerge w:val="restart"/>
          </w:tcPr>
          <w:p>
            <w:pPr>
              <w:spacing w:after="0"/>
              <w:rPr>
                <w:sz w:val="20"/>
                <w:szCs w:val="20"/>
                <w:color w:val="auto"/>
              </w:rPr>
            </w:pPr>
            <w:r>
              <w:rPr>
                <w:rFonts w:ascii="Arial" w:cs="Arial" w:eastAsia="Arial" w:hAnsi="Arial"/>
                <w:sz w:val="17"/>
                <w:szCs w:val="17"/>
                <w:color w:val="0000FF"/>
              </w:rPr>
              <w:t>C/O OFFICEMAX INCORPORATED</w:t>
            </w:r>
          </w:p>
        </w:tc>
        <w:tc>
          <w:tcPr>
            <w:tcW w:w="80" w:type="dxa"/>
            <w:vAlign w:val="bottom"/>
          </w:tcPr>
          <w:p>
            <w:pPr>
              <w:spacing w:after="0"/>
              <w:rPr>
                <w:sz w:val="8"/>
                <w:szCs w:val="8"/>
                <w:color w:val="auto"/>
              </w:rPr>
            </w:pPr>
          </w:p>
        </w:tc>
        <w:tc>
          <w:tcPr>
            <w:tcW w:w="39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800" w:type="dxa"/>
            <w:vAlign w:val="bottom"/>
            <w:gridSpan w:val="4"/>
            <w:vMerge w:val="continue"/>
          </w:tcPr>
          <w:p>
            <w:pPr>
              <w:spacing w:after="0"/>
              <w:rPr>
                <w:sz w:val="19"/>
                <w:szCs w:val="19"/>
                <w:color w:val="auto"/>
              </w:rPr>
            </w:pPr>
          </w:p>
        </w:tc>
        <w:tc>
          <w:tcPr>
            <w:tcW w:w="3760" w:type="dxa"/>
            <w:vAlign w:val="bottom"/>
            <w:gridSpan w:val="3"/>
          </w:tcPr>
          <w:p>
            <w:pPr>
              <w:ind w:left="160"/>
              <w:spacing w:after="0"/>
              <w:rPr>
                <w:sz w:val="20"/>
                <w:szCs w:val="20"/>
                <w:color w:val="auto"/>
              </w:rPr>
            </w:pPr>
            <w:r>
              <w:rPr>
                <w:rFonts w:ascii="Arial" w:cs="Arial" w:eastAsia="Arial" w:hAnsi="Arial"/>
                <w:sz w:val="17"/>
                <w:szCs w:val="17"/>
                <w:color w:val="0000FF"/>
              </w:rPr>
              <w:t>11/05/2013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263 SHUMAN BLVD.</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jc w:val="center"/>
        <w:ind w:right="174"/>
        <w:spacing w:after="0"/>
        <w:rPr>
          <w:sz w:val="20"/>
          <w:szCs w:val="20"/>
          <w:color w:val="auto"/>
        </w:rPr>
      </w:pPr>
      <w:r>
        <w:rPr>
          <w:rFonts w:ascii="Arial" w:cs="Arial" w:eastAsia="Arial" w:hAnsi="Arial"/>
          <w:sz w:val="17"/>
          <w:szCs w:val="17"/>
          <w:color w:val="0000FF"/>
        </w:rPr>
        <w:t>SVP, Supply Chain</w:t>
      </w:r>
    </w:p>
    <w:p>
      <w:pPr>
        <w:spacing w:after="0" w:line="408" w:lineRule="exact"/>
        <w:rPr>
          <w:sz w:val="20"/>
          <w:szCs w:val="20"/>
          <w:color w:val="auto"/>
        </w:rPr>
      </w:pPr>
    </w:p>
    <w:p>
      <w:pPr>
        <w:sectPr>
          <w:pgSz w:w="11900" w:h="16910" w:orient="portrait"/>
          <w:cols w:equalWidth="0" w:num="2">
            <w:col w:w="7980" w:space="74"/>
            <w:col w:w="3466"/>
          </w:cols>
          <w:pgMar w:left="240" w:top="225" w:right="139" w:bottom="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25"/>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rPr>
              <w:t>NAPERVILLE   IL</w:t>
            </w:r>
          </w:p>
        </w:tc>
        <w:tc>
          <w:tcPr>
            <w:tcW w:w="102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7"/>
                <w:szCs w:val="17"/>
                <w:color w:val="0000FF"/>
              </w:rPr>
              <w:t>60563</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gridSpan w:val="4"/>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2660" w:type="dxa"/>
            <w:vAlign w:val="bottom"/>
            <w:tcBorders>
              <w:bottom w:val="single" w:sz="8" w:color="2C2C2C"/>
            </w:tcBorders>
            <w:gridSpan w:val="6"/>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7"/>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0" w:type="dxa"/>
            <w:vAlign w:val="bottom"/>
          </w:tcPr>
          <w:p>
            <w:pPr>
              <w:spacing w:after="0"/>
              <w:rPr>
                <w:sz w:val="15"/>
                <w:szCs w:val="15"/>
                <w:color w:val="auto"/>
              </w:rPr>
            </w:pPr>
          </w:p>
        </w:tc>
        <w:tc>
          <w:tcPr>
            <w:tcW w:w="184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gridSpan w:val="3"/>
          </w:tcPr>
          <w:p>
            <w:pPr>
              <w:jc w:val="center"/>
              <w:ind w:left="548"/>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00" w:type="dxa"/>
            <w:vAlign w:val="bottom"/>
            <w:gridSpan w:val="5"/>
          </w:tcPr>
          <w:p>
            <w:pPr>
              <w:ind w:left="60"/>
              <w:spacing w:after="0"/>
              <w:rPr>
                <w:sz w:val="20"/>
                <w:szCs w:val="20"/>
                <w:color w:val="auto"/>
              </w:rPr>
            </w:pPr>
            <w:r>
              <w:rPr>
                <w:rFonts w:ascii="Arial" w:cs="Arial" w:eastAsia="Arial" w:hAnsi="Arial"/>
                <w:sz w:val="17"/>
                <w:szCs w:val="17"/>
                <w:color w:val="0000FF"/>
                <w:w w:val="93"/>
              </w:rPr>
              <w:t>Series D Convertible Preferred Stock</w:t>
            </w:r>
          </w:p>
        </w:tc>
        <w:tc>
          <w:tcPr>
            <w:tcW w:w="1840" w:type="dxa"/>
            <w:vAlign w:val="bottom"/>
            <w:gridSpan w:val="3"/>
          </w:tcPr>
          <w:p>
            <w:pPr>
              <w:jc w:val="center"/>
              <w:ind w:left="548"/>
              <w:spacing w:after="0"/>
              <w:rPr>
                <w:sz w:val="20"/>
                <w:szCs w:val="20"/>
                <w:color w:val="auto"/>
              </w:rPr>
            </w:pPr>
            <w:r>
              <w:rPr>
                <w:rFonts w:ascii="Arial" w:cs="Arial" w:eastAsia="Arial" w:hAnsi="Arial"/>
                <w:sz w:val="17"/>
                <w:szCs w:val="17"/>
                <w:color w:val="0000FF"/>
                <w:w w:val="91"/>
              </w:rPr>
              <w:t>11/05/2013</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ind w:right="140"/>
              <w:spacing w:after="0" w:line="214" w:lineRule="exact"/>
              <w:rPr>
                <w:sz w:val="20"/>
                <w:szCs w:val="20"/>
                <w:color w:val="auto"/>
              </w:rPr>
            </w:pPr>
            <w:r>
              <w:rPr>
                <w:rFonts w:ascii="Arial" w:cs="Arial" w:eastAsia="Arial" w:hAnsi="Arial"/>
                <w:sz w:val="24"/>
                <w:szCs w:val="24"/>
                <w:color w:val="0000FF"/>
                <w:w w:val="83"/>
                <w:vertAlign w:val="subscript"/>
              </w:rPr>
              <w:t>J</w:t>
            </w:r>
            <w:r>
              <w:rPr>
                <w:rFonts w:ascii="Arial" w:cs="Arial" w:eastAsia="Arial" w:hAnsi="Arial"/>
                <w:sz w:val="11"/>
                <w:szCs w:val="11"/>
                <w:color w:val="008000"/>
                <w:w w:val="83"/>
              </w:rPr>
              <w:t>(3)</w:t>
            </w:r>
          </w:p>
        </w:tc>
        <w:tc>
          <w:tcPr>
            <w:tcW w:w="160" w:type="dxa"/>
            <w:vAlign w:val="bottom"/>
          </w:tcPr>
          <w:p>
            <w:pPr>
              <w:spacing w:after="0"/>
              <w:rPr>
                <w:sz w:val="18"/>
                <w:szCs w:val="18"/>
                <w:color w:val="auto"/>
              </w:rPr>
            </w:pPr>
          </w:p>
        </w:tc>
        <w:tc>
          <w:tcPr>
            <w:tcW w:w="620" w:type="dxa"/>
            <w:vAlign w:val="bottom"/>
          </w:tcPr>
          <w:p>
            <w:pPr>
              <w:jc w:val="center"/>
              <w:ind w:left="146"/>
              <w:spacing w:after="0"/>
              <w:rPr>
                <w:sz w:val="20"/>
                <w:szCs w:val="20"/>
                <w:color w:val="auto"/>
              </w:rPr>
            </w:pPr>
            <w:r>
              <w:rPr>
                <w:rFonts w:ascii="Arial" w:cs="Arial" w:eastAsia="Arial" w:hAnsi="Arial"/>
                <w:sz w:val="17"/>
                <w:szCs w:val="17"/>
                <w:color w:val="0000FF"/>
                <w:w w:val="93"/>
              </w:rPr>
              <w:t>1,371</w:t>
            </w:r>
          </w:p>
        </w:tc>
        <w:tc>
          <w:tcPr>
            <w:tcW w:w="12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Arial" w:cs="Arial" w:eastAsia="Arial" w:hAnsi="Arial"/>
                <w:sz w:val="17"/>
                <w:szCs w:val="17"/>
                <w:color w:val="0000FF"/>
              </w:rPr>
              <w:t>D</w:t>
            </w:r>
          </w:p>
        </w:tc>
        <w:tc>
          <w:tcPr>
            <w:tcW w:w="560" w:type="dxa"/>
            <w:vAlign w:val="bottom"/>
          </w:tcPr>
          <w:p>
            <w:pPr>
              <w:ind w:left="340"/>
              <w:spacing w:after="0"/>
              <w:rPr>
                <w:sz w:val="20"/>
                <w:szCs w:val="20"/>
                <w:color w:val="auto"/>
              </w:rPr>
            </w:pPr>
            <w:r>
              <w:rPr>
                <w:rFonts w:ascii="Arial" w:cs="Arial" w:eastAsia="Arial" w:hAnsi="Arial"/>
                <w:sz w:val="11"/>
                <w:szCs w:val="11"/>
                <w:color w:val="008000"/>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jc w:val="center"/>
              <w:ind w:right="493"/>
              <w:spacing w:after="0"/>
              <w:rPr>
                <w:sz w:val="20"/>
                <w:szCs w:val="20"/>
                <w:color w:val="auto"/>
              </w:rPr>
            </w:pPr>
            <w:r>
              <w:rPr>
                <w:rFonts w:ascii="Arial" w:cs="Arial" w:eastAsia="Arial" w:hAnsi="Arial"/>
                <w:sz w:val="17"/>
                <w:szCs w:val="17"/>
                <w:color w:val="0000FF"/>
                <w:w w:val="84"/>
              </w:rPr>
              <w:t>0</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3"/>
          </w:tcPr>
          <w:p>
            <w:pPr>
              <w:jc w:val="center"/>
              <w:ind w:left="548"/>
              <w:spacing w:after="0"/>
              <w:rPr>
                <w:sz w:val="20"/>
                <w:szCs w:val="20"/>
                <w:color w:val="auto"/>
              </w:rPr>
            </w:pPr>
            <w:r>
              <w:rPr>
                <w:rFonts w:ascii="Arial" w:cs="Arial" w:eastAsia="Arial" w:hAnsi="Arial"/>
                <w:sz w:val="17"/>
                <w:szCs w:val="17"/>
                <w:color w:val="0000FF"/>
                <w:w w:val="91"/>
              </w:rPr>
              <w:t>11/05/2013</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ind w:right="140"/>
              <w:spacing w:after="0" w:line="214" w:lineRule="exact"/>
              <w:rPr>
                <w:sz w:val="20"/>
                <w:szCs w:val="20"/>
                <w:color w:val="auto"/>
              </w:rPr>
            </w:pPr>
            <w:r>
              <w:rPr>
                <w:rFonts w:ascii="Arial" w:cs="Arial" w:eastAsia="Arial" w:hAnsi="Arial"/>
                <w:sz w:val="24"/>
                <w:szCs w:val="24"/>
                <w:color w:val="0000FF"/>
                <w:w w:val="83"/>
                <w:vertAlign w:val="subscript"/>
              </w:rPr>
              <w:t>J</w:t>
            </w:r>
            <w:r>
              <w:rPr>
                <w:rFonts w:ascii="Arial" w:cs="Arial" w:eastAsia="Arial" w:hAnsi="Arial"/>
                <w:sz w:val="11"/>
                <w:szCs w:val="11"/>
                <w:color w:val="008000"/>
                <w:w w:val="83"/>
              </w:rPr>
              <w:t>(3)</w:t>
            </w:r>
          </w:p>
        </w:tc>
        <w:tc>
          <w:tcPr>
            <w:tcW w:w="160" w:type="dxa"/>
            <w:vAlign w:val="bottom"/>
          </w:tcPr>
          <w:p>
            <w:pPr>
              <w:spacing w:after="0"/>
              <w:rPr>
                <w:sz w:val="18"/>
                <w:szCs w:val="18"/>
                <w:color w:val="auto"/>
              </w:rPr>
            </w:pPr>
          </w:p>
        </w:tc>
        <w:tc>
          <w:tcPr>
            <w:tcW w:w="620" w:type="dxa"/>
            <w:vAlign w:val="bottom"/>
          </w:tcPr>
          <w:p>
            <w:pPr>
              <w:jc w:val="center"/>
              <w:ind w:left="146"/>
              <w:spacing w:after="0"/>
              <w:rPr>
                <w:sz w:val="20"/>
                <w:szCs w:val="20"/>
                <w:color w:val="auto"/>
              </w:rPr>
            </w:pPr>
            <w:r>
              <w:rPr>
                <w:rFonts w:ascii="Arial" w:cs="Arial" w:eastAsia="Arial" w:hAnsi="Arial"/>
                <w:sz w:val="17"/>
                <w:szCs w:val="17"/>
                <w:color w:val="0000FF"/>
                <w:w w:val="93"/>
              </w:rPr>
              <w:t>4,118</w:t>
            </w:r>
          </w:p>
        </w:tc>
        <w:tc>
          <w:tcPr>
            <w:tcW w:w="12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Pr>
          <w:p>
            <w:pPr>
              <w:ind w:left="340"/>
              <w:spacing w:after="0"/>
              <w:rPr>
                <w:sz w:val="20"/>
                <w:szCs w:val="20"/>
                <w:color w:val="auto"/>
              </w:rPr>
            </w:pPr>
            <w:r>
              <w:rPr>
                <w:rFonts w:ascii="Arial" w:cs="Arial" w:eastAsia="Arial" w:hAnsi="Arial"/>
                <w:sz w:val="11"/>
                <w:szCs w:val="11"/>
                <w:color w:val="008000"/>
              </w:rPr>
              <w:t>(3)</w:t>
            </w:r>
          </w:p>
        </w:tc>
        <w:tc>
          <w:tcPr>
            <w:tcW w:w="6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89"/>
              </w:rPr>
              <w:t>4,118</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3"/>
          </w:tcPr>
          <w:p>
            <w:pPr>
              <w:jc w:val="center"/>
              <w:ind w:left="548"/>
              <w:spacing w:after="0"/>
              <w:rPr>
                <w:sz w:val="20"/>
                <w:szCs w:val="20"/>
                <w:color w:val="auto"/>
              </w:rPr>
            </w:pPr>
            <w:r>
              <w:rPr>
                <w:rFonts w:ascii="Arial" w:cs="Arial" w:eastAsia="Arial" w:hAnsi="Arial"/>
                <w:sz w:val="17"/>
                <w:szCs w:val="17"/>
                <w:color w:val="0000FF"/>
                <w:w w:val="91"/>
              </w:rPr>
              <w:t>11/05/2013</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ind w:right="140"/>
              <w:spacing w:after="0"/>
              <w:rPr>
                <w:sz w:val="20"/>
                <w:szCs w:val="20"/>
                <w:color w:val="auto"/>
              </w:rPr>
            </w:pPr>
            <w:r>
              <w:rPr>
                <w:rFonts w:ascii="Arial" w:cs="Arial" w:eastAsia="Arial" w:hAnsi="Arial"/>
                <w:sz w:val="13"/>
                <w:szCs w:val="13"/>
                <w:color w:val="0000FF"/>
              </w:rPr>
              <w:t>D</w:t>
            </w:r>
          </w:p>
        </w:tc>
        <w:tc>
          <w:tcPr>
            <w:tcW w:w="160" w:type="dxa"/>
            <w:vAlign w:val="bottom"/>
          </w:tcPr>
          <w:p>
            <w:pPr>
              <w:spacing w:after="0"/>
              <w:rPr>
                <w:sz w:val="18"/>
                <w:szCs w:val="18"/>
                <w:color w:val="auto"/>
              </w:rPr>
            </w:pPr>
          </w:p>
        </w:tc>
        <w:tc>
          <w:tcPr>
            <w:tcW w:w="620" w:type="dxa"/>
            <w:vAlign w:val="bottom"/>
          </w:tcPr>
          <w:p>
            <w:pPr>
              <w:jc w:val="center"/>
              <w:ind w:left="146"/>
              <w:spacing w:after="0"/>
              <w:rPr>
                <w:sz w:val="20"/>
                <w:szCs w:val="20"/>
                <w:color w:val="auto"/>
              </w:rPr>
            </w:pPr>
            <w:r>
              <w:rPr>
                <w:rFonts w:ascii="Arial" w:cs="Arial" w:eastAsia="Arial" w:hAnsi="Arial"/>
                <w:sz w:val="17"/>
                <w:szCs w:val="17"/>
                <w:color w:val="0000FF"/>
                <w:w w:val="93"/>
              </w:rPr>
              <w:t>4,118</w:t>
            </w:r>
          </w:p>
        </w:tc>
        <w:tc>
          <w:tcPr>
            <w:tcW w:w="12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Arial" w:cs="Arial" w:eastAsia="Arial" w:hAnsi="Arial"/>
                <w:sz w:val="17"/>
                <w:szCs w:val="17"/>
                <w:color w:val="0000FF"/>
              </w:rPr>
              <w:t>D</w:t>
            </w:r>
          </w:p>
        </w:tc>
        <w:tc>
          <w:tcPr>
            <w:tcW w:w="560" w:type="dxa"/>
            <w:vAlign w:val="bottom"/>
          </w:tcPr>
          <w:p>
            <w:pPr>
              <w:ind w:left="340"/>
              <w:spacing w:after="0"/>
              <w:rPr>
                <w:sz w:val="20"/>
                <w:szCs w:val="20"/>
                <w:color w:val="auto"/>
              </w:rPr>
            </w:pPr>
            <w:r>
              <w:rPr>
                <w:rFonts w:ascii="Arial" w:cs="Arial" w:eastAsia="Arial" w:hAnsi="Arial"/>
                <w:sz w:val="11"/>
                <w:szCs w:val="11"/>
                <w:color w:val="008000"/>
              </w:rPr>
              <w:t>(4)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jc w:val="center"/>
              <w:ind w:right="493"/>
              <w:spacing w:after="0"/>
              <w:rPr>
                <w:sz w:val="20"/>
                <w:szCs w:val="20"/>
                <w:color w:val="auto"/>
              </w:rPr>
            </w:pPr>
            <w:r>
              <w:rPr>
                <w:rFonts w:ascii="Arial" w:cs="Arial" w:eastAsia="Arial" w:hAnsi="Arial"/>
                <w:sz w:val="17"/>
                <w:szCs w:val="17"/>
                <w:color w:val="0000FF"/>
                <w:w w:val="84"/>
              </w:rPr>
              <w:t>0</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80" w:type="dxa"/>
            <w:vAlign w:val="bottom"/>
            <w:tcBorders>
              <w:bottom w:val="single" w:sz="8" w:color="2C2C2C"/>
            </w:tcBorders>
            <w:gridSpan w:val="3"/>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48"/>
              <w:spacing w:after="0"/>
              <w:rPr>
                <w:sz w:val="20"/>
                <w:szCs w:val="20"/>
                <w:color w:val="auto"/>
              </w:rPr>
            </w:pPr>
            <w:r>
              <w:rPr>
                <w:rFonts w:ascii="Arial" w:cs="Arial" w:eastAsia="Arial" w:hAnsi="Arial"/>
                <w:sz w:val="17"/>
                <w:szCs w:val="17"/>
                <w:color w:val="0000FF"/>
                <w:w w:val="91"/>
              </w:rPr>
              <w:t>11/05/2013</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40"/>
              <w:spacing w:after="0"/>
              <w:rPr>
                <w:sz w:val="20"/>
                <w:szCs w:val="20"/>
                <w:color w:val="auto"/>
              </w:rPr>
            </w:pPr>
            <w:r>
              <w:rPr>
                <w:rFonts w:ascii="Arial" w:cs="Arial" w:eastAsia="Arial" w:hAnsi="Arial"/>
                <w:sz w:val="13"/>
                <w:szCs w:val="13"/>
                <w:color w:val="0000FF"/>
              </w:rPr>
              <w:t>D</w:t>
            </w: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left="26"/>
              <w:spacing w:after="0"/>
              <w:rPr>
                <w:sz w:val="20"/>
                <w:szCs w:val="20"/>
                <w:color w:val="auto"/>
              </w:rPr>
            </w:pPr>
            <w:r>
              <w:rPr>
                <w:rFonts w:ascii="Arial" w:cs="Arial" w:eastAsia="Arial" w:hAnsi="Arial"/>
                <w:sz w:val="17"/>
                <w:szCs w:val="17"/>
                <w:color w:val="0000FF"/>
                <w:w w:val="85"/>
              </w:rPr>
              <w:t>50,362</w:t>
            </w:r>
            <w:r>
              <w:rPr>
                <w:rFonts w:ascii="Arial" w:cs="Arial" w:eastAsia="Arial" w:hAnsi="Arial"/>
                <w:sz w:val="22"/>
                <w:szCs w:val="22"/>
                <w:color w:val="008000"/>
                <w:w w:val="85"/>
                <w:vertAlign w:val="superscript"/>
              </w:rPr>
              <w:t>(1)</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493"/>
              <w:spacing w:after="0"/>
              <w:rPr>
                <w:sz w:val="20"/>
                <w:szCs w:val="20"/>
                <w:color w:val="auto"/>
              </w:rPr>
            </w:pPr>
            <w:r>
              <w:rPr>
                <w:rFonts w:ascii="Arial" w:cs="Arial" w:eastAsia="Arial" w:hAnsi="Arial"/>
                <w:sz w:val="17"/>
                <w:szCs w:val="17"/>
                <w:color w:val="0000FF"/>
                <w:w w:val="84"/>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360" w:type="dxa"/>
            <w:vAlign w:val="bottom"/>
            <w:tcBorders>
              <w:top w:val="single" w:sz="8" w:color="2C2C2C"/>
            </w:tcBorders>
            <w:gridSpan w:val="15"/>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40" w:type="dxa"/>
            <w:vAlign w:val="bottom"/>
            <w:gridSpan w:val="12"/>
          </w:tcPr>
          <w:p>
            <w:pPr>
              <w:jc w:val="center"/>
              <w:ind w:left="38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0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12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0" w:type="dxa"/>
            <w:vAlign w:val="bottom"/>
          </w:tcPr>
          <w:p>
            <w:pPr>
              <w:spacing w:after="0"/>
              <w:rPr>
                <w:sz w:val="11"/>
                <w:szCs w:val="11"/>
                <w:color w:val="auto"/>
              </w:rPr>
            </w:pP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ind w:left="10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(5)</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13,357</w:t>
            </w:r>
          </w:p>
        </w:tc>
        <w:tc>
          <w:tcPr>
            <w:tcW w:w="60" w:type="dxa"/>
            <w:vAlign w:val="bottom"/>
          </w:tcPr>
          <w:p>
            <w:pPr>
              <w:spacing w:after="0"/>
              <w:rPr>
                <w:sz w:val="12"/>
                <w:szCs w:val="12"/>
                <w:color w:val="auto"/>
              </w:rPr>
            </w:pPr>
          </w:p>
        </w:tc>
        <w:tc>
          <w:tcPr>
            <w:tcW w:w="620" w:type="dxa"/>
            <w:vAlign w:val="bottom"/>
            <w:gridSpan w:val="2"/>
            <w:vMerge w:val="restart"/>
          </w:tcPr>
          <w:p>
            <w:pPr>
              <w:ind w:left="240"/>
              <w:spacing w:after="0"/>
              <w:rPr>
                <w:sz w:val="20"/>
                <w:szCs w:val="20"/>
                <w:color w:val="auto"/>
              </w:rPr>
            </w:pPr>
            <w:r>
              <w:rPr>
                <w:rFonts w:ascii="Arial" w:cs="Arial" w:eastAsia="Arial" w:hAnsi="Arial"/>
                <w:sz w:val="11"/>
                <w:szCs w:val="11"/>
                <w:color w:val="008000"/>
              </w:rPr>
              <w:t>(5)</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860" w:type="dxa"/>
            <w:vAlign w:val="bottom"/>
          </w:tcPr>
          <w:p>
            <w:pPr>
              <w:jc w:val="center"/>
              <w:spacing w:after="0" w:line="132"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12.82</w:t>
            </w:r>
          </w:p>
        </w:tc>
        <w:tc>
          <w:tcPr>
            <w:tcW w:w="1020" w:type="dxa"/>
            <w:vAlign w:val="bottom"/>
          </w:tcPr>
          <w:p>
            <w:pPr>
              <w:jc w:val="center"/>
              <w:spacing w:after="0" w:line="132" w:lineRule="exact"/>
              <w:rPr>
                <w:sz w:val="20"/>
                <w:szCs w:val="20"/>
                <w:color w:val="auto"/>
              </w:rPr>
            </w:pPr>
            <w:r>
              <w:rPr>
                <w:rFonts w:ascii="Arial" w:cs="Arial" w:eastAsia="Arial" w:hAnsi="Arial"/>
                <w:sz w:val="13"/>
                <w:szCs w:val="13"/>
                <w:color w:val="0000FF"/>
                <w:w w:val="92"/>
              </w:rPr>
              <w:t>11/05/2013</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3"/>
                <w:szCs w:val="13"/>
                <w:color w:val="0000FF"/>
              </w:rPr>
              <w:t>D</w:t>
            </w:r>
          </w:p>
        </w:tc>
        <w:tc>
          <w:tcPr>
            <w:tcW w:w="940" w:type="dxa"/>
            <w:vAlign w:val="bottom"/>
          </w:tcPr>
          <w:p>
            <w:pPr>
              <w:ind w:left="460"/>
              <w:spacing w:after="0" w:line="132" w:lineRule="exact"/>
              <w:rPr>
                <w:sz w:val="20"/>
                <w:szCs w:val="20"/>
                <w:color w:val="auto"/>
              </w:rPr>
            </w:pPr>
            <w:r>
              <w:rPr>
                <w:rFonts w:ascii="Arial" w:cs="Arial" w:eastAsia="Arial" w:hAnsi="Arial"/>
                <w:sz w:val="13"/>
                <w:szCs w:val="13"/>
                <w:color w:val="0000FF"/>
              </w:rPr>
              <w:t>13,357</w:t>
            </w:r>
          </w:p>
        </w:tc>
        <w:tc>
          <w:tcPr>
            <w:tcW w:w="800" w:type="dxa"/>
            <w:vAlign w:val="bottom"/>
            <w:gridSpan w:val="2"/>
            <w:vMerge w:val="continue"/>
          </w:tcPr>
          <w:p>
            <w:pPr>
              <w:spacing w:after="0"/>
              <w:rPr>
                <w:sz w:val="11"/>
                <w:szCs w:val="11"/>
                <w:color w:val="auto"/>
              </w:rPr>
            </w:pPr>
          </w:p>
        </w:tc>
        <w:tc>
          <w:tcPr>
            <w:tcW w:w="78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02/11/2017</w:t>
            </w:r>
          </w:p>
        </w:tc>
        <w:tc>
          <w:tcPr>
            <w:tcW w:w="66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720" w:type="dxa"/>
            <w:vAlign w:val="bottom"/>
          </w:tcPr>
          <w:p>
            <w:pPr>
              <w:ind w:left="480"/>
              <w:spacing w:after="0" w:line="132"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(6)</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10,373</w:t>
            </w:r>
          </w:p>
        </w:tc>
        <w:tc>
          <w:tcPr>
            <w:tcW w:w="60" w:type="dxa"/>
            <w:vAlign w:val="bottom"/>
          </w:tcPr>
          <w:p>
            <w:pPr>
              <w:spacing w:after="0"/>
              <w:rPr>
                <w:sz w:val="12"/>
                <w:szCs w:val="12"/>
                <w:color w:val="auto"/>
              </w:rPr>
            </w:pPr>
          </w:p>
        </w:tc>
        <w:tc>
          <w:tcPr>
            <w:tcW w:w="620" w:type="dxa"/>
            <w:vAlign w:val="bottom"/>
            <w:gridSpan w:val="2"/>
            <w:vMerge w:val="restart"/>
          </w:tcPr>
          <w:p>
            <w:pPr>
              <w:ind w:left="240"/>
              <w:spacing w:after="0"/>
              <w:rPr>
                <w:sz w:val="20"/>
                <w:szCs w:val="20"/>
                <w:color w:val="auto"/>
              </w:rPr>
            </w:pPr>
            <w:r>
              <w:rPr>
                <w:rFonts w:ascii="Arial" w:cs="Arial" w:eastAsia="Arial" w:hAnsi="Arial"/>
                <w:sz w:val="11"/>
                <w:szCs w:val="11"/>
                <w:color w:val="008000"/>
              </w:rPr>
              <w:t>(6)</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860" w:type="dxa"/>
            <w:vAlign w:val="bottom"/>
          </w:tcPr>
          <w:p>
            <w:pPr>
              <w:jc w:val="center"/>
              <w:spacing w:after="0" w:line="132"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14.89</w:t>
            </w:r>
          </w:p>
        </w:tc>
        <w:tc>
          <w:tcPr>
            <w:tcW w:w="1020" w:type="dxa"/>
            <w:vAlign w:val="bottom"/>
          </w:tcPr>
          <w:p>
            <w:pPr>
              <w:jc w:val="center"/>
              <w:spacing w:after="0" w:line="132" w:lineRule="exact"/>
              <w:rPr>
                <w:sz w:val="20"/>
                <w:szCs w:val="20"/>
                <w:color w:val="auto"/>
              </w:rPr>
            </w:pPr>
            <w:r>
              <w:rPr>
                <w:rFonts w:ascii="Arial" w:cs="Arial" w:eastAsia="Arial" w:hAnsi="Arial"/>
                <w:sz w:val="13"/>
                <w:szCs w:val="13"/>
                <w:color w:val="0000FF"/>
                <w:w w:val="92"/>
              </w:rPr>
              <w:t>11/05/2013</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3"/>
                <w:szCs w:val="13"/>
                <w:color w:val="0000FF"/>
              </w:rPr>
              <w:t>D</w:t>
            </w:r>
          </w:p>
        </w:tc>
        <w:tc>
          <w:tcPr>
            <w:tcW w:w="940" w:type="dxa"/>
            <w:vAlign w:val="bottom"/>
          </w:tcPr>
          <w:p>
            <w:pPr>
              <w:ind w:left="460"/>
              <w:spacing w:after="0" w:line="132" w:lineRule="exact"/>
              <w:rPr>
                <w:sz w:val="20"/>
                <w:szCs w:val="20"/>
                <w:color w:val="auto"/>
              </w:rPr>
            </w:pPr>
            <w:r>
              <w:rPr>
                <w:rFonts w:ascii="Arial" w:cs="Arial" w:eastAsia="Arial" w:hAnsi="Arial"/>
                <w:sz w:val="13"/>
                <w:szCs w:val="13"/>
                <w:color w:val="0000FF"/>
              </w:rPr>
              <w:t>10,373</w:t>
            </w:r>
          </w:p>
        </w:tc>
        <w:tc>
          <w:tcPr>
            <w:tcW w:w="800" w:type="dxa"/>
            <w:vAlign w:val="bottom"/>
            <w:gridSpan w:val="2"/>
            <w:vMerge w:val="continue"/>
          </w:tcPr>
          <w:p>
            <w:pPr>
              <w:spacing w:after="0"/>
              <w:rPr>
                <w:sz w:val="11"/>
                <w:szCs w:val="11"/>
                <w:color w:val="auto"/>
              </w:rPr>
            </w:pPr>
          </w:p>
        </w:tc>
        <w:tc>
          <w:tcPr>
            <w:tcW w:w="78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02/09/2018</w:t>
            </w:r>
          </w:p>
        </w:tc>
        <w:tc>
          <w:tcPr>
            <w:tcW w:w="66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720" w:type="dxa"/>
            <w:vAlign w:val="bottom"/>
          </w:tcPr>
          <w:p>
            <w:pPr>
              <w:ind w:left="480"/>
              <w:spacing w:after="0" w:line="132"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(7)</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w w:val="99"/>
              </w:rPr>
              <w:t>11,869</w:t>
            </w:r>
          </w:p>
        </w:tc>
        <w:tc>
          <w:tcPr>
            <w:tcW w:w="60" w:type="dxa"/>
            <w:vAlign w:val="bottom"/>
          </w:tcPr>
          <w:p>
            <w:pPr>
              <w:spacing w:after="0"/>
              <w:rPr>
                <w:sz w:val="12"/>
                <w:szCs w:val="12"/>
                <w:color w:val="auto"/>
              </w:rPr>
            </w:pPr>
          </w:p>
        </w:tc>
        <w:tc>
          <w:tcPr>
            <w:tcW w:w="620" w:type="dxa"/>
            <w:vAlign w:val="bottom"/>
            <w:gridSpan w:val="2"/>
            <w:vMerge w:val="restart"/>
          </w:tcPr>
          <w:p>
            <w:pPr>
              <w:ind w:left="240"/>
              <w:spacing w:after="0"/>
              <w:rPr>
                <w:sz w:val="20"/>
                <w:szCs w:val="20"/>
                <w:color w:val="auto"/>
              </w:rPr>
            </w:pPr>
            <w:r>
              <w:rPr>
                <w:rFonts w:ascii="Arial" w:cs="Arial" w:eastAsia="Arial" w:hAnsi="Arial"/>
                <w:sz w:val="11"/>
                <w:szCs w:val="11"/>
                <w:color w:val="008000"/>
              </w:rPr>
              <w:t>(7)</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860" w:type="dxa"/>
            <w:vAlign w:val="bottom"/>
          </w:tcPr>
          <w:p>
            <w:pPr>
              <w:jc w:val="center"/>
              <w:spacing w:after="0" w:line="132"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4.92</w:t>
            </w:r>
          </w:p>
        </w:tc>
        <w:tc>
          <w:tcPr>
            <w:tcW w:w="1020" w:type="dxa"/>
            <w:vAlign w:val="bottom"/>
          </w:tcPr>
          <w:p>
            <w:pPr>
              <w:jc w:val="center"/>
              <w:spacing w:after="0" w:line="132" w:lineRule="exact"/>
              <w:rPr>
                <w:sz w:val="20"/>
                <w:szCs w:val="20"/>
                <w:color w:val="auto"/>
              </w:rPr>
            </w:pPr>
            <w:r>
              <w:rPr>
                <w:rFonts w:ascii="Arial" w:cs="Arial" w:eastAsia="Arial" w:hAnsi="Arial"/>
                <w:sz w:val="13"/>
                <w:szCs w:val="13"/>
                <w:color w:val="0000FF"/>
                <w:w w:val="92"/>
              </w:rPr>
              <w:t>11/05/2013</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3"/>
                <w:szCs w:val="13"/>
                <w:color w:val="0000FF"/>
              </w:rPr>
              <w:t>D</w:t>
            </w:r>
          </w:p>
        </w:tc>
        <w:tc>
          <w:tcPr>
            <w:tcW w:w="940" w:type="dxa"/>
            <w:vAlign w:val="bottom"/>
          </w:tcPr>
          <w:p>
            <w:pPr>
              <w:ind w:left="460"/>
              <w:spacing w:after="0" w:line="132" w:lineRule="exact"/>
              <w:rPr>
                <w:sz w:val="20"/>
                <w:szCs w:val="20"/>
                <w:color w:val="auto"/>
              </w:rPr>
            </w:pPr>
            <w:r>
              <w:rPr>
                <w:rFonts w:ascii="Arial" w:cs="Arial" w:eastAsia="Arial" w:hAnsi="Arial"/>
                <w:sz w:val="13"/>
                <w:szCs w:val="13"/>
                <w:color w:val="0000FF"/>
              </w:rPr>
              <w:t>11,869</w:t>
            </w:r>
          </w:p>
        </w:tc>
        <w:tc>
          <w:tcPr>
            <w:tcW w:w="800" w:type="dxa"/>
            <w:vAlign w:val="bottom"/>
            <w:gridSpan w:val="2"/>
            <w:vMerge w:val="continue"/>
          </w:tcPr>
          <w:p>
            <w:pPr>
              <w:spacing w:after="0"/>
              <w:rPr>
                <w:sz w:val="11"/>
                <w:szCs w:val="11"/>
                <w:color w:val="auto"/>
              </w:rPr>
            </w:pPr>
          </w:p>
        </w:tc>
        <w:tc>
          <w:tcPr>
            <w:tcW w:w="78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02/16/2019</w:t>
            </w:r>
          </w:p>
        </w:tc>
        <w:tc>
          <w:tcPr>
            <w:tcW w:w="66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720" w:type="dxa"/>
            <w:vAlign w:val="bottom"/>
          </w:tcPr>
          <w:p>
            <w:pPr>
              <w:ind w:left="480"/>
              <w:spacing w:after="0" w:line="132"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Includes shares acquired through a dividend reinvestment plan that were not previously reported.</w:t>
      </w:r>
    </w:p>
    <w:p>
      <w:pPr>
        <w:spacing w:after="0" w:line="51" w:lineRule="exact"/>
        <w:rPr>
          <w:rFonts w:ascii="Arial" w:cs="Arial" w:eastAsia="Arial" w:hAnsi="Arial"/>
          <w:sz w:val="13"/>
          <w:szCs w:val="13"/>
          <w:color w:val="008000"/>
        </w:rPr>
      </w:pPr>
    </w:p>
    <w:p>
      <w:pPr>
        <w:ind w:left="40" w:right="160" w:firstLine="8"/>
        <w:spacing w:after="0" w:line="285" w:lineRule="auto"/>
        <w:tabs>
          <w:tab w:leader="none" w:pos="174"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Disposed of pursuant to a merger agreement between OfficeMax Incorporated (the "Company"), Office Depot, Inc. ("ODP") and their respective subsidiaries, in exchange for 71,033 shares of ODP common stock and 64,442 ODP restricted stock units, on the effective date of the merger (such merger, the "Merger") (in accordance with the exchange ratio set forth in the merger agreement pursuant to which each share of the Company's common stock was exchanged for 2.69 shares of ODP common stock). The closing price of ODP common stock on November 5, 2013 (the effective date of the Merger) was $5.65 per share.</w:t>
      </w:r>
    </w:p>
    <w:p>
      <w:pPr>
        <w:spacing w:after="0" w:line="4" w:lineRule="exact"/>
        <w:rPr>
          <w:rFonts w:ascii="Arial" w:cs="Arial" w:eastAsia="Arial" w:hAnsi="Arial"/>
          <w:sz w:val="12"/>
          <w:szCs w:val="12"/>
          <w:color w:val="008000"/>
        </w:rPr>
      </w:pPr>
    </w:p>
    <w:p>
      <w:pPr>
        <w:ind w:left="40" w:right="240" w:firstLine="8"/>
        <w:spacing w:after="0" w:line="248"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the Certificate of Designation of Convertible Preferred Stock, Series D, each share of OfficeMax Series D Preferred Stock was redeemed on November 5, 2013, following the redemption date of November 4, 2013, for a redemption price of $45.00 per share, plus all accrued and unpaid dividends thereon. The redemption price was paid in shares of OfficeMax common stock, which were valued for such purposes at their Fair Market Value of as of the redemption date (as defined in the Certificate of Designation), or $15.415 per share. The reporting person received 4,118 shares of OfficeMax common stock in connection with the redemption of his OfficeMax Series D Preferred Stock.</w:t>
      </w:r>
    </w:p>
    <w:p>
      <w:pPr>
        <w:spacing w:after="0" w:line="25" w:lineRule="exact"/>
        <w:rPr>
          <w:rFonts w:ascii="Arial" w:cs="Arial" w:eastAsia="Arial" w:hAnsi="Arial"/>
          <w:sz w:val="13"/>
          <w:szCs w:val="13"/>
          <w:color w:val="008000"/>
        </w:rPr>
      </w:pPr>
    </w:p>
    <w:p>
      <w:pPr>
        <w:ind w:left="40" w:right="260" w:firstLine="8"/>
        <w:spacing w:after="0" w:line="254"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Disposed of pursuant to a merger agreement between the Company, ODP and their respective subsidiaries, in exchange for 11,078 shares of ODP common stock, on the effective date of the Merger (in accordance with the exchange ratio set forth in the merger agreement pursuant to which each share of the Company's common stock was exchanged for 2.69 shares of ODP common stock). The closing price of ODP common stock on November 5, 2013 (the effective date of the Merger) was $5.65 per share.</w:t>
      </w:r>
    </w:p>
    <w:p>
      <w:pPr>
        <w:spacing w:after="0" w:line="21" w:lineRule="exact"/>
        <w:rPr>
          <w:rFonts w:ascii="Arial" w:cs="Arial" w:eastAsia="Arial" w:hAnsi="Arial"/>
          <w:sz w:val="13"/>
          <w:szCs w:val="13"/>
          <w:color w:val="008000"/>
        </w:rPr>
      </w:pPr>
    </w:p>
    <w:p>
      <w:pPr>
        <w:ind w:left="40" w:right="380" w:firstLine="8"/>
        <w:spacing w:after="0" w:line="272"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stock option, which provided for vesting in three equal annual installments, on each of the first three anniversaries of its 2/11/2010 grant date, was assumed by ODP in connection with the Merger and replaced with an option to purchase 35,930 shares of ODP common stock for $4.77 per share.</w:t>
      </w:r>
    </w:p>
    <w:p>
      <w:pPr>
        <w:sectPr>
          <w:pgSz w:w="11900" w:h="16910" w:orient="portrait"/>
          <w:cols w:equalWidth="0" w:num="1">
            <w:col w:w="11520"/>
          </w:cols>
          <w:pgMar w:left="240" w:top="225" w:right="139" w:bottom="0" w:gutter="0" w:footer="0" w:header="0"/>
          <w:type w:val="continuous"/>
        </w:sectPr>
      </w:pPr>
    </w:p>
    <w:bookmarkStart w:id="1" w:name="page2"/>
    <w:bookmarkEnd w:id="1"/>
    <w:p>
      <w:pPr>
        <w:ind w:right="80" w:firstLine="8"/>
        <w:spacing w:after="0" w:line="272" w:lineRule="auto"/>
        <w:tabs>
          <w:tab w:leader="none" w:pos="134"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This stock option, which provided for vesting in three equal annual installments, on each of the first three anniversaries of its 2/9/2011 grant date, was assumed by ODP in connection with the Merger and replaced with an option to purchase 27,903 shares of ODP common stock for $5.54 per share.</w:t>
      </w:r>
    </w:p>
    <w:p>
      <w:pPr>
        <w:spacing w:after="0" w:line="9" w:lineRule="exact"/>
        <w:rPr>
          <w:rFonts w:ascii="Arial" w:cs="Arial" w:eastAsia="Arial" w:hAnsi="Arial"/>
          <w:sz w:val="13"/>
          <w:szCs w:val="13"/>
          <w:color w:val="008000"/>
        </w:rPr>
      </w:pPr>
    </w:p>
    <w:p>
      <w:pPr>
        <w:ind w:firstLine="8"/>
        <w:spacing w:after="0" w:line="272" w:lineRule="auto"/>
        <w:tabs>
          <w:tab w:leader="none" w:pos="134"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This stock option, which provided for vesting in three equal annual installments, on each of the first three anniversaries of its 2/16/2012 grant date, was assumed by ODP in connection with the Merger and replaced with an option to purchase 31,927 shares of ODP common stock for $1.83 per share.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008000"/>
        </w:rPr>
        <w:t>In connection with the Merger (defined in the footnotes above), Mapleby Holdings Merger Corporation has become the successor registrant to OfficeMax Incorporated.</w:t>
      </w:r>
    </w:p>
    <w:p>
      <w:pPr>
        <w:spacing w:after="0" w:line="68"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w w:val="99"/>
              </w:rPr>
              <w:t>/s/ Susan Wagner-Fleming, by</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11/07/2013</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POA from Larry Hartley</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3380" w:firstLine="8"/>
        <w:spacing w:after="0" w:line="321" w:lineRule="auto"/>
        <w:tabs>
          <w:tab w:leader="none" w:pos="142"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120"/>
      </w:cols>
      <w:pgMar w:left="280" w:top="142"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6"/>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0194" TargetMode="External"/><Relationship Id="rId13" Type="http://schemas.openxmlformats.org/officeDocument/2006/relationships/hyperlink" Target="http://www.sec.gov/cgi-bin/browse-edgar?action=getcompany&amp;CIK=00000129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2019-12-15T23:18:19Z</dcterms:created>
  <dcterms:modified xsi:type="dcterms:W3CDTF">2019-12-15T23:18:19Z</dcterms:modified>
</cp:coreProperties>
</file>