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left="260" w:right="1680"/>
        <w:spacing w:after="0" w:line="239" w:lineRule="auto"/>
        <w:rPr>
          <w:sz w:val="20"/>
          <w:szCs w:val="20"/>
          <w:color w:val="auto"/>
        </w:rPr>
      </w:pPr>
      <w:r>
        <w:rPr>
          <w:rFonts w:ascii="Arial" w:cs="Arial" w:eastAsia="Arial" w:hAnsi="Arial"/>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1-5057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MAPLEBY HOLDINGS MERGER CORPORATION</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(as successor to OfficeMax Incorporated)</w:t>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OfficeMax Incorporated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263 Shuman Blvd.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Naperville, Illinois 60563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(630) 438-7800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each class of securities covered by this Form)</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American &amp; Foreign Power Company Inc. Debentures, 5% Series due 2030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60"/>
        <w:spacing w:after="0"/>
        <w:rPr>
          <w:sz w:val="20"/>
          <w:szCs w:val="20"/>
          <w:color w:val="auto"/>
        </w:rPr>
      </w:pPr>
      <w:r>
        <w:rPr>
          <w:rFonts w:ascii="Arial" w:cs="Arial" w:eastAsia="Arial" w:hAnsi="Arial"/>
          <w:sz w:val="17"/>
          <w:szCs w:val="17"/>
          <w:color w:val="auto"/>
        </w:rPr>
        <w:t>Please place an X in the box(es) to designate the appropriate rule provisions(s) relied upon to terminate or suspend the duty to file reports:</w:t>
      </w:r>
    </w:p>
    <w:p>
      <w:pPr>
        <w:spacing w:after="0" w:line="109" w:lineRule="exact"/>
        <w:rPr>
          <w:sz w:val="24"/>
          <w:szCs w:val="24"/>
          <w:color w:val="auto"/>
        </w:rPr>
      </w:pPr>
    </w:p>
    <w:tbl>
      <w:tblPr>
        <w:tblLayout w:type="fixed"/>
        <w:tblInd w:w="460" w:type="dxa"/>
        <w:tblCellMar>
          <w:top w:w="0" w:type="dxa"/>
          <w:left w:w="0" w:type="dxa"/>
          <w:bottom w:w="0" w:type="dxa"/>
          <w:right w:w="0" w:type="dxa"/>
        </w:tblCellMar>
      </w:tblPr>
      <w:tr>
        <w:trPr>
          <w:trHeight w:val="216"/>
        </w:trPr>
        <w:tc>
          <w:tcPr>
            <w:tcW w:w="5800" w:type="dxa"/>
            <w:vAlign w:val="bottom"/>
            <w:gridSpan w:val="2"/>
          </w:tcPr>
          <w:p>
            <w:pPr>
              <w:ind w:left="4120"/>
              <w:spacing w:after="0"/>
              <w:rPr>
                <w:sz w:val="20"/>
                <w:szCs w:val="20"/>
                <w:color w:val="auto"/>
              </w:rPr>
            </w:pPr>
            <w:r>
              <w:rPr>
                <w:rFonts w:ascii="Arial" w:cs="Arial" w:eastAsia="Arial" w:hAnsi="Arial"/>
                <w:sz w:val="18"/>
                <w:szCs w:val="18"/>
                <w:color w:val="auto"/>
              </w:rPr>
              <w:t>Rule 12g-4(a)(1)</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5800" w:type="dxa"/>
            <w:vAlign w:val="bottom"/>
            <w:gridSpan w:val="2"/>
          </w:tcPr>
          <w:p>
            <w:pPr>
              <w:ind w:left="4120"/>
              <w:spacing w:after="0"/>
              <w:rPr>
                <w:sz w:val="20"/>
                <w:szCs w:val="20"/>
                <w:color w:val="auto"/>
              </w:rPr>
            </w:pPr>
            <w:r>
              <w:rPr>
                <w:rFonts w:ascii="Arial" w:cs="Arial" w:eastAsia="Arial" w:hAnsi="Arial"/>
                <w:sz w:val="18"/>
                <w:szCs w:val="18"/>
                <w:color w:val="auto"/>
              </w:rPr>
              <w:t>Rule 12g-4(a)(2)</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5800" w:type="dxa"/>
            <w:vAlign w:val="bottom"/>
            <w:gridSpan w:val="2"/>
          </w:tcPr>
          <w:p>
            <w:pPr>
              <w:ind w:left="4120"/>
              <w:spacing w:after="0"/>
              <w:rPr>
                <w:sz w:val="20"/>
                <w:szCs w:val="20"/>
                <w:color w:val="auto"/>
              </w:rPr>
            </w:pPr>
            <w:r>
              <w:rPr>
                <w:rFonts w:ascii="Arial" w:cs="Arial" w:eastAsia="Arial" w:hAnsi="Arial"/>
                <w:sz w:val="18"/>
                <w:szCs w:val="18"/>
                <w:color w:val="auto"/>
              </w:rPr>
              <w:t>Rule 12h-3(b)(1)(i)</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5800" w:type="dxa"/>
            <w:vAlign w:val="bottom"/>
            <w:gridSpan w:val="2"/>
          </w:tcPr>
          <w:p>
            <w:pPr>
              <w:ind w:left="4120"/>
              <w:spacing w:after="0"/>
              <w:rPr>
                <w:sz w:val="20"/>
                <w:szCs w:val="20"/>
                <w:color w:val="auto"/>
              </w:rPr>
            </w:pPr>
            <w:r>
              <w:rPr>
                <w:rFonts w:ascii="Arial" w:cs="Arial" w:eastAsia="Arial" w:hAnsi="Arial"/>
                <w:sz w:val="18"/>
                <w:szCs w:val="18"/>
                <w:color w:val="auto"/>
              </w:rPr>
              <w:t>Rule 12h-3(b)(1)(ii)</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5800" w:type="dxa"/>
            <w:vAlign w:val="bottom"/>
            <w:gridSpan w:val="2"/>
          </w:tcPr>
          <w:p>
            <w:pPr>
              <w:ind w:left="4120"/>
              <w:spacing w:after="0"/>
              <w:rPr>
                <w:sz w:val="20"/>
                <w:szCs w:val="20"/>
                <w:color w:val="auto"/>
              </w:rPr>
            </w:pPr>
            <w:r>
              <w:rPr>
                <w:rFonts w:ascii="Arial" w:cs="Arial" w:eastAsia="Arial" w:hAnsi="Arial"/>
                <w:sz w:val="18"/>
                <w:szCs w:val="18"/>
                <w:color w:val="auto"/>
              </w:rPr>
              <w:t>Rule 15d-6</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4"/>
        </w:trPr>
        <w:tc>
          <w:tcPr>
            <w:tcW w:w="5800" w:type="dxa"/>
            <w:vAlign w:val="bottom"/>
            <w:gridSpan w:val="2"/>
          </w:tcPr>
          <w:p>
            <w:pPr>
              <w:spacing w:after="0"/>
              <w:rPr>
                <w:sz w:val="20"/>
                <w:szCs w:val="20"/>
                <w:color w:val="auto"/>
              </w:rPr>
            </w:pPr>
            <w:r>
              <w:rPr>
                <w:rFonts w:ascii="Arial" w:cs="Arial" w:eastAsia="Arial" w:hAnsi="Arial"/>
                <w:sz w:val="18"/>
                <w:szCs w:val="18"/>
                <w:color w:val="auto"/>
                <w:w w:val="91"/>
              </w:rPr>
              <w:t>Approximate number of holders of record as of the certification or notice date: 1</w:t>
            </w:r>
          </w:p>
        </w:tc>
        <w:tc>
          <w:tcPr>
            <w:tcW w:w="600" w:type="dxa"/>
            <w:vAlign w:val="bottom"/>
          </w:tcPr>
          <w:p>
            <w:pPr>
              <w:spacing w:after="0"/>
              <w:rPr>
                <w:sz w:val="22"/>
                <w:szCs w:val="22"/>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29" w:lineRule="exact"/>
        <w:rPr>
          <w:sz w:val="24"/>
          <w:szCs w:val="24"/>
          <w:color w:val="auto"/>
        </w:rPr>
      </w:pPr>
    </w:p>
    <w:p>
      <w:pPr>
        <w:ind w:right="6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Mapleby Holdings Merger Corporation (as successor to OfficeMax Incorporated) has caused this certification/notice to be signed on its behalf by the undersigned duly authorized person.</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color w:val="auto"/>
              </w:rPr>
              <w:t>MAPLEBY HOLDINGS MERGER CORPORATION</w:t>
            </w:r>
          </w:p>
        </w:tc>
      </w:tr>
      <w:tr>
        <w:trPr>
          <w:trHeight w:val="230"/>
        </w:trPr>
        <w:tc>
          <w:tcPr>
            <w:tcW w:w="384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color w:val="auto"/>
              </w:rPr>
              <w:t>(as successor to OfficeMax Incorporated)</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Date: November 18, 2013</w:t>
            </w:r>
          </w:p>
        </w:tc>
        <w:tc>
          <w:tcPr>
            <w:tcW w:w="2460" w:type="dxa"/>
            <w:vAlign w:val="bottom"/>
          </w:tcPr>
          <w:p>
            <w:pPr>
              <w:ind w:left="198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Matthew R. Broad</w:t>
            </w:r>
          </w:p>
        </w:tc>
      </w:tr>
      <w:tr>
        <w:trPr>
          <w:trHeight w:val="195"/>
        </w:trPr>
        <w:tc>
          <w:tcPr>
            <w:tcW w:w="3840" w:type="dxa"/>
            <w:vAlign w:val="bottom"/>
          </w:tcPr>
          <w:p>
            <w:pPr>
              <w:spacing w:after="0"/>
              <w:rPr>
                <w:sz w:val="16"/>
                <w:szCs w:val="16"/>
                <w:color w:val="auto"/>
              </w:rPr>
            </w:pPr>
          </w:p>
        </w:tc>
        <w:tc>
          <w:tcPr>
            <w:tcW w:w="2460" w:type="dxa"/>
            <w:vAlign w:val="bottom"/>
          </w:tcPr>
          <w:p>
            <w:pPr>
              <w:ind w:left="198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Matthew R. Broad</w:t>
            </w:r>
          </w:p>
        </w:tc>
      </w:tr>
      <w:tr>
        <w:trPr>
          <w:trHeight w:val="230"/>
        </w:trPr>
        <w:tc>
          <w:tcPr>
            <w:tcW w:w="3840" w:type="dxa"/>
            <w:vAlign w:val="bottom"/>
          </w:tcPr>
          <w:p>
            <w:pPr>
              <w:spacing w:after="0"/>
              <w:rPr>
                <w:sz w:val="20"/>
                <w:szCs w:val="20"/>
                <w:color w:val="auto"/>
              </w:rPr>
            </w:pPr>
          </w:p>
        </w:tc>
        <w:tc>
          <w:tcPr>
            <w:tcW w:w="2460" w:type="dxa"/>
            <w:vAlign w:val="bottom"/>
          </w:tcPr>
          <w:p>
            <w:pPr>
              <w:ind w:left="198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Executive Vice President and General Counsel</w:t>
            </w:r>
          </w:p>
        </w:tc>
      </w:tr>
      <w:tr>
        <w:trPr>
          <w:trHeight w:val="230"/>
        </w:trPr>
        <w:tc>
          <w:tcPr>
            <w:tcW w:w="38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5120" w:type="dxa"/>
            <w:vAlign w:val="bottom"/>
            <w:tcBorders>
              <w:bottom w:val="single" w:sz="8" w:color="auto"/>
            </w:tcBorders>
          </w:tcPr>
          <w:p>
            <w:pPr>
              <w:spacing w:after="0"/>
              <w:rPr>
                <w:sz w:val="19"/>
                <w:szCs w:val="19"/>
                <w:color w:val="auto"/>
              </w:rPr>
            </w:pPr>
          </w:p>
        </w:tc>
      </w:tr>
      <w:tr>
        <w:trPr>
          <w:trHeight w:val="48"/>
        </w:trPr>
        <w:tc>
          <w:tcPr>
            <w:tcW w:w="384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5120" w:type="dxa"/>
            <w:vAlign w:val="bottom"/>
            <w:tcBorders>
              <w:bottom w:val="single" w:sz="8" w:color="auto"/>
            </w:tcBorders>
          </w:tcPr>
          <w:p>
            <w:pPr>
              <w:spacing w:after="0"/>
              <w:rPr>
                <w:sz w:val="4"/>
                <w:szCs w:val="4"/>
                <w:color w:val="auto"/>
              </w:rPr>
            </w:pPr>
          </w:p>
        </w:tc>
      </w:tr>
    </w:tbl>
    <w:p>
      <w:pPr>
        <w:spacing w:after="0" w:line="1" w:lineRule="exact"/>
        <w:rPr>
          <w:sz w:val="24"/>
          <w:szCs w:val="24"/>
          <w:color w:val="auto"/>
        </w:rPr>
      </w:pP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2019-12-05T04:24:53Z</dcterms:created>
  <dcterms:modified xsi:type="dcterms:W3CDTF">2019-12-05T04:24:53Z</dcterms:modified>
</cp:coreProperties>
</file>