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jc w:val="center"/>
        <w:ind w:left="360"/>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-5715</wp:posOffset>
            </wp:positionV>
            <wp:extent cx="144780" cy="195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780" cy="195580"/>
                    </a:xfrm>
                    <a:prstGeom prst="rect">
                      <a:avLst/>
                    </a:prstGeom>
                    <a:noFill/>
                  </pic:spPr>
                </pic:pic>
              </a:graphicData>
            </a:graphic>
          </wp:anchor>
        </w:drawing>
      </w:r>
    </w:p>
    <w:p>
      <w:pPr>
        <w:jc w:val="both"/>
        <w:ind w:left="360" w:right="360" w:hanging="272"/>
        <w:spacing w:after="0" w:line="187"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7994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79945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20" w:space="340"/>
            <w:col w:w="8860"/>
          </w:cols>
          <w:pgMar w:left="240" w:top="225"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5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Parsons Stephen B</w:t>
              </w:r>
            </w:hyperlink>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3"/>
          </w:tcPr>
          <w:p>
            <w:pPr>
              <w:ind w:left="8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MAPLEBY HOLDINGS MERGER Corp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540" w:type="dxa"/>
            <w:vAlign w:val="bottom"/>
            <w:gridSpan w:val="3"/>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3980" w:type="dxa"/>
            <w:vAlign w:val="bottom"/>
            <w:gridSpan w:val="3"/>
            <w:vMerge w:val="restart"/>
          </w:tcPr>
          <w:p>
            <w:pPr>
              <w:ind w:left="80"/>
              <w:spacing w:after="0"/>
              <w:rPr>
                <w:sz w:val="20"/>
                <w:szCs w:val="20"/>
                <w:color w:val="auto"/>
              </w:rPr>
            </w:pPr>
            <w:r>
              <w:rPr>
                <w:rFonts w:ascii="Arial" w:cs="Arial" w:eastAsia="Arial" w:hAnsi="Arial"/>
                <w:sz w:val="17"/>
                <w:szCs w:val="17"/>
                <w:color w:val="0000FF"/>
              </w:rPr>
              <w:t xml:space="preserve">OMX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39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60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980" w:type="dxa"/>
            <w:vAlign w:val="bottom"/>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3800" w:type="dxa"/>
            <w:vAlign w:val="bottom"/>
            <w:gridSpan w:val="4"/>
            <w:vMerge w:val="restart"/>
          </w:tcPr>
          <w:p>
            <w:pPr>
              <w:spacing w:after="0"/>
              <w:rPr>
                <w:sz w:val="20"/>
                <w:szCs w:val="20"/>
                <w:color w:val="auto"/>
              </w:rPr>
            </w:pPr>
            <w:r>
              <w:rPr>
                <w:rFonts w:ascii="Arial" w:cs="Arial" w:eastAsia="Arial" w:hAnsi="Arial"/>
                <w:sz w:val="17"/>
                <w:szCs w:val="17"/>
                <w:color w:val="0000FF"/>
              </w:rPr>
              <w:t>C/O OFFICEMAX INCORPORATED</w:t>
            </w:r>
          </w:p>
        </w:tc>
        <w:tc>
          <w:tcPr>
            <w:tcW w:w="80" w:type="dxa"/>
            <w:vAlign w:val="bottom"/>
          </w:tcPr>
          <w:p>
            <w:pPr>
              <w:spacing w:after="0"/>
              <w:rPr>
                <w:sz w:val="8"/>
                <w:szCs w:val="8"/>
                <w:color w:val="auto"/>
              </w:rPr>
            </w:pPr>
          </w:p>
        </w:tc>
        <w:tc>
          <w:tcPr>
            <w:tcW w:w="39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3800" w:type="dxa"/>
            <w:vAlign w:val="bottom"/>
            <w:gridSpan w:val="4"/>
            <w:vMerge w:val="continue"/>
          </w:tcPr>
          <w:p>
            <w:pPr>
              <w:spacing w:after="0"/>
              <w:rPr>
                <w:sz w:val="19"/>
                <w:szCs w:val="19"/>
                <w:color w:val="auto"/>
              </w:rPr>
            </w:pPr>
          </w:p>
        </w:tc>
        <w:tc>
          <w:tcPr>
            <w:tcW w:w="3760" w:type="dxa"/>
            <w:vAlign w:val="bottom"/>
            <w:gridSpan w:val="3"/>
          </w:tcPr>
          <w:p>
            <w:pPr>
              <w:ind w:left="160"/>
              <w:spacing w:after="0"/>
              <w:rPr>
                <w:sz w:val="20"/>
                <w:szCs w:val="20"/>
                <w:color w:val="auto"/>
              </w:rPr>
            </w:pPr>
            <w:r>
              <w:rPr>
                <w:rFonts w:ascii="Arial" w:cs="Arial" w:eastAsia="Arial" w:hAnsi="Arial"/>
                <w:sz w:val="17"/>
                <w:szCs w:val="17"/>
                <w:color w:val="0000FF"/>
              </w:rPr>
              <w:t>11/05/2013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263 SHUMAN BLVD.</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6" w:right="640" w:hanging="6"/>
        <w:spacing w:after="0" w:line="255" w:lineRule="auto"/>
        <w:tabs>
          <w:tab w:leader="none" w:pos="155"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06"/>
        <w:spacing w:after="0"/>
        <w:rPr>
          <w:sz w:val="20"/>
          <w:szCs w:val="20"/>
          <w:color w:val="auto"/>
        </w:rPr>
      </w:pPr>
      <w:r>
        <w:rPr>
          <w:rFonts w:ascii="Arial" w:cs="Arial" w:eastAsia="Arial" w:hAnsi="Arial"/>
          <w:sz w:val="17"/>
          <w:szCs w:val="17"/>
          <w:color w:val="0000FF"/>
        </w:rPr>
        <w:t>EVP, Human Resources</w:t>
      </w:r>
    </w:p>
    <w:p>
      <w:pPr>
        <w:spacing w:after="0" w:line="408" w:lineRule="exact"/>
        <w:rPr>
          <w:sz w:val="20"/>
          <w:szCs w:val="20"/>
          <w:color w:val="auto"/>
        </w:rPr>
      </w:pPr>
    </w:p>
    <w:p>
      <w:pPr>
        <w:sectPr>
          <w:pgSz w:w="11900" w:h="16838" w:orient="portrait"/>
          <w:cols w:equalWidth="0" w:num="2">
            <w:col w:w="7980" w:space="74"/>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32"/>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rPr>
              <w:t>NAPERVILLE   IL</w:t>
            </w:r>
          </w:p>
        </w:tc>
        <w:tc>
          <w:tcPr>
            <w:tcW w:w="1020" w:type="dxa"/>
            <w:vAlign w:val="bottom"/>
          </w:tcPr>
          <w:p>
            <w:pPr>
              <w:spacing w:after="0"/>
              <w:rPr>
                <w:sz w:val="11"/>
                <w:szCs w:val="11"/>
                <w:color w:val="auto"/>
              </w:rPr>
            </w:pP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60563</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2640" w:type="dxa"/>
            <w:vAlign w:val="bottom"/>
            <w:tcBorders>
              <w:bottom w:val="single" w:sz="8" w:color="2C2C2C"/>
            </w:tcBorders>
            <w:gridSpan w:val="6"/>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5"/>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6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23"/>
                <w:szCs w:val="23"/>
                <w:color w:val="auto"/>
              </w:rPr>
            </w:pPr>
          </w:p>
        </w:tc>
        <w:tc>
          <w:tcPr>
            <w:tcW w:w="1960" w:type="dxa"/>
            <w:vAlign w:val="bottom"/>
            <w:gridSpan w:val="3"/>
          </w:tcPr>
          <w:p>
            <w:pPr>
              <w:ind w:left="940"/>
              <w:spacing w:after="0"/>
              <w:rPr>
                <w:sz w:val="20"/>
                <w:szCs w:val="20"/>
                <w:color w:val="auto"/>
              </w:rPr>
            </w:pPr>
            <w:r>
              <w:rPr>
                <w:rFonts w:ascii="Arial" w:cs="Arial" w:eastAsia="Arial" w:hAnsi="Arial"/>
                <w:sz w:val="17"/>
                <w:szCs w:val="17"/>
                <w:color w:val="0000FF"/>
              </w:rPr>
              <w:t>11/05/2013</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D</w:t>
            </w:r>
          </w:p>
        </w:tc>
        <w:tc>
          <w:tcPr>
            <w:tcW w:w="220" w:type="dxa"/>
            <w:vAlign w:val="bottom"/>
          </w:tcPr>
          <w:p>
            <w:pPr>
              <w:spacing w:after="0"/>
              <w:rPr>
                <w:sz w:val="23"/>
                <w:szCs w:val="23"/>
                <w:color w:val="auto"/>
              </w:rPr>
            </w:pPr>
          </w:p>
        </w:tc>
        <w:tc>
          <w:tcPr>
            <w:tcW w:w="640" w:type="dxa"/>
            <w:vAlign w:val="bottom"/>
            <w:gridSpan w:val="2"/>
          </w:tcPr>
          <w:p>
            <w:pPr>
              <w:ind w:left="120"/>
              <w:spacing w:after="0"/>
              <w:rPr>
                <w:sz w:val="20"/>
                <w:szCs w:val="20"/>
                <w:color w:val="auto"/>
              </w:rPr>
            </w:pPr>
            <w:r>
              <w:rPr>
                <w:rFonts w:ascii="Arial" w:cs="Arial" w:eastAsia="Arial" w:hAnsi="Arial"/>
                <w:sz w:val="17"/>
                <w:szCs w:val="17"/>
                <w:color w:val="0000FF"/>
                <w:w w:val="96"/>
              </w:rPr>
              <w:t>73,655</w:t>
            </w:r>
          </w:p>
        </w:tc>
        <w:tc>
          <w:tcPr>
            <w:tcW w:w="580" w:type="dxa"/>
            <w:vAlign w:val="bottom"/>
          </w:tcPr>
          <w:p>
            <w:pPr>
              <w:ind w:left="340"/>
              <w:spacing w:after="0"/>
              <w:rPr>
                <w:sz w:val="20"/>
                <w:szCs w:val="20"/>
                <w:color w:val="auto"/>
              </w:rPr>
            </w:pPr>
            <w:r>
              <w:rPr>
                <w:rFonts w:ascii="Arial" w:cs="Arial" w:eastAsia="Arial" w:hAnsi="Arial"/>
                <w:sz w:val="17"/>
                <w:szCs w:val="17"/>
                <w:color w:val="0000FF"/>
              </w:rPr>
              <w:t>D</w:t>
            </w:r>
          </w:p>
        </w:tc>
        <w:tc>
          <w:tcPr>
            <w:tcW w:w="560" w:type="dxa"/>
            <w:vAlign w:val="bottom"/>
          </w:tcPr>
          <w:p>
            <w:pPr>
              <w:ind w:left="320"/>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720" w:type="dxa"/>
            <w:vAlign w:val="bottom"/>
            <w:gridSpan w:val="2"/>
          </w:tcPr>
          <w:p>
            <w:pPr>
              <w:ind w:left="640"/>
              <w:spacing w:after="0"/>
              <w:rPr>
                <w:sz w:val="20"/>
                <w:szCs w:val="20"/>
                <w:color w:val="auto"/>
              </w:rPr>
            </w:pPr>
            <w:r>
              <w:rPr>
                <w:rFonts w:ascii="Arial" w:cs="Arial" w:eastAsia="Arial" w:hAnsi="Arial"/>
                <w:sz w:val="15"/>
                <w:szCs w:val="15"/>
                <w:color w:val="0000FF"/>
                <w:w w:val="71"/>
              </w:rPr>
              <w:t>0</w:t>
            </w: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5"/>
          </w:tcPr>
          <w:p>
            <w:pPr>
              <w:spacing w:after="0"/>
              <w:rPr>
                <w:sz w:val="8"/>
                <w:szCs w:val="8"/>
                <w:color w:val="auto"/>
              </w:rPr>
            </w:pPr>
          </w:p>
        </w:tc>
        <w:tc>
          <w:tcPr>
            <w:tcW w:w="264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40" w:type="dxa"/>
            <w:vAlign w:val="bottom"/>
            <w:gridSpan w:val="12"/>
          </w:tcPr>
          <w:p>
            <w:pPr>
              <w:jc w:val="center"/>
              <w:ind w:left="49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66,126</w:t>
            </w:r>
          </w:p>
        </w:tc>
        <w:tc>
          <w:tcPr>
            <w:tcW w:w="6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1"/>
                <w:szCs w:val="11"/>
                <w:color w:val="008000"/>
              </w:rPr>
              <w:t>(2)</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860" w:type="dxa"/>
            <w:vAlign w:val="bottom"/>
          </w:tcPr>
          <w:p>
            <w:pPr>
              <w:ind w:left="26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6.08</w:t>
            </w:r>
          </w:p>
        </w:tc>
        <w:tc>
          <w:tcPr>
            <w:tcW w:w="1020" w:type="dxa"/>
            <w:vAlign w:val="bottom"/>
          </w:tcPr>
          <w:p>
            <w:pPr>
              <w:jc w:val="right"/>
              <w:ind w:right="133"/>
              <w:spacing w:after="0" w:line="132" w:lineRule="exact"/>
              <w:rPr>
                <w:sz w:val="20"/>
                <w:szCs w:val="20"/>
                <w:color w:val="auto"/>
              </w:rPr>
            </w:pPr>
            <w:r>
              <w:rPr>
                <w:rFonts w:ascii="Arial" w:cs="Arial" w:eastAsia="Arial" w:hAnsi="Arial"/>
                <w:sz w:val="13"/>
                <w:szCs w:val="13"/>
                <w:color w:val="0000FF"/>
              </w:rPr>
              <w:t>11/05/2013</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60"/>
              <w:spacing w:after="0" w:line="132" w:lineRule="exact"/>
              <w:rPr>
                <w:sz w:val="20"/>
                <w:szCs w:val="20"/>
                <w:color w:val="auto"/>
              </w:rPr>
            </w:pPr>
            <w:r>
              <w:rPr>
                <w:rFonts w:ascii="Arial" w:cs="Arial" w:eastAsia="Arial" w:hAnsi="Arial"/>
                <w:sz w:val="13"/>
                <w:szCs w:val="13"/>
                <w:color w:val="0000FF"/>
              </w:rPr>
              <w:t>D</w:t>
            </w:r>
          </w:p>
        </w:tc>
        <w:tc>
          <w:tcPr>
            <w:tcW w:w="940" w:type="dxa"/>
            <w:vAlign w:val="bottom"/>
          </w:tcPr>
          <w:p>
            <w:pPr>
              <w:ind w:left="440"/>
              <w:spacing w:after="0" w:line="132" w:lineRule="exact"/>
              <w:rPr>
                <w:sz w:val="20"/>
                <w:szCs w:val="20"/>
                <w:color w:val="auto"/>
              </w:rPr>
            </w:pPr>
            <w:r>
              <w:rPr>
                <w:rFonts w:ascii="Arial" w:cs="Arial" w:eastAsia="Arial" w:hAnsi="Arial"/>
                <w:sz w:val="13"/>
                <w:szCs w:val="13"/>
                <w:color w:val="0000FF"/>
              </w:rPr>
              <w:t>66,126</w:t>
            </w:r>
          </w:p>
        </w:tc>
        <w:tc>
          <w:tcPr>
            <w:tcW w:w="780" w:type="dxa"/>
            <w:vAlign w:val="bottom"/>
            <w:gridSpan w:val="2"/>
            <w:vMerge w:val="continue"/>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07/25/2018</w:t>
            </w:r>
          </w:p>
        </w:tc>
        <w:tc>
          <w:tcPr>
            <w:tcW w:w="7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0" w:type="dxa"/>
            <w:vAlign w:val="bottom"/>
          </w:tcPr>
          <w:p>
            <w:pPr>
              <w:ind w:left="380"/>
              <w:spacing w:after="0" w:line="132"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53,412</w:t>
            </w:r>
          </w:p>
        </w:tc>
        <w:tc>
          <w:tcPr>
            <w:tcW w:w="6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1"/>
                <w:szCs w:val="11"/>
                <w:color w:val="008000"/>
              </w:rPr>
              <w:t>(3)</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860" w:type="dxa"/>
            <w:vAlign w:val="bottom"/>
          </w:tcPr>
          <w:p>
            <w:pPr>
              <w:ind w:left="26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4.92</w:t>
            </w:r>
          </w:p>
        </w:tc>
        <w:tc>
          <w:tcPr>
            <w:tcW w:w="1020" w:type="dxa"/>
            <w:vAlign w:val="bottom"/>
          </w:tcPr>
          <w:p>
            <w:pPr>
              <w:jc w:val="right"/>
              <w:ind w:right="133"/>
              <w:spacing w:after="0" w:line="132" w:lineRule="exact"/>
              <w:rPr>
                <w:sz w:val="20"/>
                <w:szCs w:val="20"/>
                <w:color w:val="auto"/>
              </w:rPr>
            </w:pPr>
            <w:r>
              <w:rPr>
                <w:rFonts w:ascii="Arial" w:cs="Arial" w:eastAsia="Arial" w:hAnsi="Arial"/>
                <w:sz w:val="13"/>
                <w:szCs w:val="13"/>
                <w:color w:val="0000FF"/>
              </w:rPr>
              <w:t>11/05/2013</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60"/>
              <w:spacing w:after="0" w:line="132" w:lineRule="exact"/>
              <w:rPr>
                <w:sz w:val="20"/>
                <w:szCs w:val="20"/>
                <w:color w:val="auto"/>
              </w:rPr>
            </w:pPr>
            <w:r>
              <w:rPr>
                <w:rFonts w:ascii="Arial" w:cs="Arial" w:eastAsia="Arial" w:hAnsi="Arial"/>
                <w:sz w:val="13"/>
                <w:szCs w:val="13"/>
                <w:color w:val="0000FF"/>
              </w:rPr>
              <w:t>D</w:t>
            </w:r>
          </w:p>
        </w:tc>
        <w:tc>
          <w:tcPr>
            <w:tcW w:w="940" w:type="dxa"/>
            <w:vAlign w:val="bottom"/>
          </w:tcPr>
          <w:p>
            <w:pPr>
              <w:ind w:left="440"/>
              <w:spacing w:after="0" w:line="132" w:lineRule="exact"/>
              <w:rPr>
                <w:sz w:val="20"/>
                <w:szCs w:val="20"/>
                <w:color w:val="auto"/>
              </w:rPr>
            </w:pPr>
            <w:r>
              <w:rPr>
                <w:rFonts w:ascii="Arial" w:cs="Arial" w:eastAsia="Arial" w:hAnsi="Arial"/>
                <w:sz w:val="13"/>
                <w:szCs w:val="13"/>
                <w:color w:val="0000FF"/>
              </w:rPr>
              <w:t>53,412</w:t>
            </w:r>
          </w:p>
        </w:tc>
        <w:tc>
          <w:tcPr>
            <w:tcW w:w="780" w:type="dxa"/>
            <w:vAlign w:val="bottom"/>
            <w:gridSpan w:val="2"/>
            <w:vMerge w:val="continue"/>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02/16/2019</w:t>
            </w:r>
          </w:p>
        </w:tc>
        <w:tc>
          <w:tcPr>
            <w:tcW w:w="7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0" w:type="dxa"/>
            <w:vAlign w:val="bottom"/>
          </w:tcPr>
          <w:p>
            <w:pPr>
              <w:ind w:left="380"/>
              <w:spacing w:after="0" w:line="132"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20" w:firstLine="8"/>
        <w:spacing w:after="0" w:line="285" w:lineRule="auto"/>
        <w:tabs>
          <w:tab w:leader="none" w:pos="174"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Disposed of pursuant to a merger agreement between OfficeMax Incorporated (the "Company"), Office Depot, Inc. ("ODP") and their respective subsidiaries, in exchange for 198,132 ODP restricted stock units, on the effective date of the merger (such merger, the "Merger") (in accordance with the exchange ratio set forth in the merger agreement pursuant to which each share of the Company's common stock was exchanged for 2.69 shares of ODP common stock). The closing price of ODP common stock on November 5, 2013 (the effective date of the Merger) was $5.65 per share.</w:t>
      </w:r>
    </w:p>
    <w:p>
      <w:pPr>
        <w:spacing w:after="0" w:line="4" w:lineRule="exact"/>
        <w:rPr>
          <w:rFonts w:ascii="Arial" w:cs="Arial" w:eastAsia="Arial" w:hAnsi="Arial"/>
          <w:sz w:val="12"/>
          <w:szCs w:val="12"/>
          <w:color w:val="008000"/>
        </w:rPr>
      </w:pPr>
    </w:p>
    <w:p>
      <w:pPr>
        <w:ind w:left="40" w:right="380" w:firstLine="8"/>
        <w:spacing w:after="0" w:line="272"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stock option, which provided for vesting in three equal annual installments, on each of the first three anniversaries of its 7/25/2011 grant date, was assumed by ODP in connection with the Merger and replaced with an option to purchase 177,878 shares of ODP common stock for $2.27 per share.</w:t>
      </w:r>
    </w:p>
    <w:p>
      <w:pPr>
        <w:spacing w:after="0" w:line="9" w:lineRule="exact"/>
        <w:rPr>
          <w:rFonts w:ascii="Arial" w:cs="Arial" w:eastAsia="Arial" w:hAnsi="Arial"/>
          <w:sz w:val="13"/>
          <w:szCs w:val="13"/>
          <w:color w:val="008000"/>
        </w:rPr>
      </w:pPr>
    </w:p>
    <w:p>
      <w:pPr>
        <w:ind w:left="40" w:right="360" w:firstLine="8"/>
        <w:spacing w:after="0" w:line="272"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stock option, which provided for vesting in three equal annual installments, on each of the first three anniversaries of its 2/16/2012 grant date, was assumed by ODP in connection with the Merger and replaced with an option to purchase 143,678 shares of ODP common stock for $1.83 per share.</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In connection with the Merger (defined in the footnotes above), Mapleby Holdings Merger Corporation has become the successor registrant to OfficeMax Incorporated.</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w w:val="99"/>
              </w:rPr>
              <w:t>/s/ Susan Wagner-Fleming, by</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11/07/2013</w:t>
            </w:r>
          </w:p>
        </w:tc>
        <w:tc>
          <w:tcPr>
            <w:tcW w:w="0" w:type="dxa"/>
            <w:vAlign w:val="bottom"/>
          </w:tcPr>
          <w:p>
            <w:pPr>
              <w:spacing w:after="0"/>
              <w:rPr>
                <w:sz w:val="1"/>
                <w:szCs w:val="1"/>
                <w:color w:val="auto"/>
              </w:rPr>
            </w:pPr>
          </w:p>
        </w:tc>
      </w:tr>
      <w:tr>
        <w:trPr>
          <w:trHeight w:val="92"/>
        </w:trPr>
        <w:tc>
          <w:tcPr>
            <w:tcW w:w="21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w w:val="99"/>
              </w:rPr>
              <w:t>POA from Stephen Parsons</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5820" TargetMode="External"/><Relationship Id="rId13" Type="http://schemas.openxmlformats.org/officeDocument/2006/relationships/hyperlink" Target="http://www.sec.gov/cgi-bin/browse-edgar?action=getcompany&amp;CIK=00000129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2019-12-15T23:18:58Z</dcterms:created>
  <dcterms:modified xsi:type="dcterms:W3CDTF">2019-12-15T23:18:58Z</dcterms:modified>
</cp:coreProperties>
</file>