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(Amendment No.: 1</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BOISE CASCADE CORP COM</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097383103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2002</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097383103</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ectPr>
          <w:pgSz w:w="11900" w:h="16855" w:orient="portrait"/>
          <w:cols w:equalWidth="0" w:num="1">
            <w:col w:w="10219"/>
          </w:cols>
          <w:pgMar w:left="240" w:top="244" w:right="1440" w:bottom="0" w:gutter="0" w:footer="0" w:header="0"/>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4,711,784</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4,711,784</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4,711,784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8.12%</w:t>
      </w:r>
    </w:p>
    <w:p>
      <w:pPr>
        <w:spacing w:after="0" w:line="207" w:lineRule="exact"/>
        <w:rPr>
          <w:sz w:val="20"/>
          <w:szCs w:val="20"/>
          <w:color w:val="auto"/>
        </w:rPr>
      </w:pPr>
    </w:p>
    <w:p>
      <w:pPr>
        <w:ind w:right="71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w:t>
      </w:r>
    </w:p>
    <w:p>
      <w:pPr>
        <w:spacing w:after="0" w:line="207" w:lineRule="exact"/>
        <w:rPr>
          <w:sz w:val="20"/>
          <w:szCs w:val="20"/>
          <w:color w:val="auto"/>
        </w:rPr>
      </w:pPr>
    </w:p>
    <w:p>
      <w:pPr>
        <w:ind w:right="24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999"/>
        <w:spacing w:after="0"/>
        <w:tabs>
          <w:tab w:leader="none" w:pos="180" w:val="left"/>
        </w:tabs>
        <w:rPr>
          <w:sz w:val="20"/>
          <w:szCs w:val="20"/>
          <w:color w:val="auto"/>
        </w:rPr>
      </w:pPr>
      <w:r>
        <w:rPr>
          <w:rFonts w:ascii="Courier New" w:cs="Courier New" w:eastAsia="Courier New" w:hAnsi="Courier New"/>
          <w:sz w:val="18"/>
          <w:szCs w:val="18"/>
          <w:color w:val="auto"/>
        </w:rPr>
        <w:t>BOISE CASCADE CORP COM</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1111 West Jefferson St.</w:t>
      </w:r>
    </w:p>
    <w:p>
      <w:pPr>
        <w:ind w:left="1060"/>
        <w:spacing w:after="0" w:line="238" w:lineRule="auto"/>
        <w:rPr>
          <w:sz w:val="20"/>
          <w:szCs w:val="20"/>
          <w:color w:val="auto"/>
        </w:rPr>
      </w:pPr>
      <w:r>
        <w:rPr>
          <w:rFonts w:ascii="Courier New" w:cs="Courier New" w:eastAsia="Courier New" w:hAnsi="Courier New"/>
          <w:sz w:val="18"/>
          <w:szCs w:val="18"/>
          <w:color w:val="auto"/>
        </w:rPr>
        <w:t>PO Box 50</w:t>
      </w: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83728-0001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 (e)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8 of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this statment is being filed to report the fact that as of the date hereof the reporting person has ceased to be the beneficial owner of more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 five percent of the class of securities, check the following: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Merrill Lynch &amp; Co., Inc. ("ML&amp;Co.") is a parent holding company. Merrill Lynch Investment Managers ("MLIM") is an operating division of ML&amp;Co.'s indirectly owned asset management subsidiaries. Certain of these subsidiaries hold certain shares of the security which is the subject of this report. (See Item 7).</w:t>
      </w:r>
    </w:p>
    <w:p>
      <w:pPr>
        <w:sectPr>
          <w:pgSz w:w="11900" w:h="16838" w:orient="portrait"/>
          <w:cols w:equalWidth="0" w:num="1">
            <w:col w:w="10219"/>
          </w:cols>
          <w:pgMar w:left="240" w:top="339" w:right="1440" w:bottom="0" w:gutter="0" w:footer="0" w:header="0"/>
        </w:sectPr>
      </w:pPr>
    </w:p>
    <w:bookmarkStart w:id="3" w:name="page4"/>
    <w:bookmarkEnd w:id="3"/>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DIRECTED SERVICES INC</w:t>
      </w:r>
    </w:p>
    <w:p>
      <w:pPr>
        <w:spacing w:after="0" w:line="238" w:lineRule="auto"/>
        <w:rPr>
          <w:sz w:val="20"/>
          <w:szCs w:val="20"/>
          <w:color w:val="auto"/>
        </w:rPr>
      </w:pPr>
      <w:r>
        <w:rPr>
          <w:rFonts w:ascii="Courier New" w:cs="Courier New" w:eastAsia="Courier New" w:hAnsi="Courier New"/>
          <w:sz w:val="18"/>
          <w:szCs w:val="18"/>
          <w:color w:val="auto"/>
        </w:rPr>
        <w:t>FAM D/B/A MERCURY ADVISORS (SUB)</w:t>
      </w: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7" w:lineRule="auto"/>
        <w:rPr>
          <w:sz w:val="20"/>
          <w:szCs w:val="20"/>
          <w:color w:val="auto"/>
        </w:rPr>
      </w:pPr>
      <w:r>
        <w:rPr>
          <w:rFonts w:ascii="Courier New" w:cs="Courier New" w:eastAsia="Courier New" w:hAnsi="Courier New"/>
          <w:sz w:val="18"/>
          <w:szCs w:val="18"/>
          <w:color w:val="auto"/>
        </w:rPr>
        <w:t>MERRILL LYNCH INVESTMENT MANAGERS CANADA CORP.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CO. LTD</w:t>
      </w:r>
    </w:p>
    <w:p>
      <w:pPr>
        <w:spacing w:after="0"/>
        <w:rPr>
          <w:sz w:val="20"/>
          <w:szCs w:val="20"/>
          <w:color w:val="auto"/>
        </w:rPr>
      </w:pPr>
      <w:r>
        <w:rPr>
          <w:rFonts w:ascii="Courier New" w:cs="Courier New" w:eastAsia="Courier New" w:hAnsi="Courier New"/>
          <w:sz w:val="18"/>
          <w:szCs w:val="18"/>
          <w:color w:val="auto"/>
        </w:rPr>
        <w:t>MERRILL LYNCH INVESTMENT MANAGERS, L.P.</w:t>
      </w:r>
    </w:p>
    <w:p>
      <w:pPr>
        <w:spacing w:after="0" w:line="237" w:lineRule="auto"/>
        <w:rPr>
          <w:sz w:val="20"/>
          <w:szCs w:val="20"/>
          <w:color w:val="auto"/>
        </w:rPr>
      </w:pPr>
      <w:r>
        <w:rPr>
          <w:rFonts w:ascii="Courier New" w:cs="Courier New" w:eastAsia="Courier New" w:hAnsi="Courier New"/>
          <w:sz w:val="18"/>
          <w:szCs w:val="18"/>
          <w:color w:val="auto"/>
        </w:rPr>
        <w:t>MERRILL LYNCH INVESTMENT MANAGERS,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07,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D. Jones, III</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Thomas D. Jones, III</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25, 1999, included as Exhibit B to Schedule 13G filed with the Securities and Exchange Commission by Merrill Lynch &amp; Co, Inc. (on behalf of Merrill Lynch Asset Management Group ("AMG")) - now known as Merrill Lynch Investment Managers ("MLIM")</w:t>
      </w:r>
    </w:p>
    <w:p>
      <w:pPr>
        <w:spacing w:after="0" w:line="209"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**Signed pursuant to a power of attorney, dated January 21, 2000, included as Exhibit B to Schedule 13G filed with the Securities and Exchange Commission by Merrill Lynch &amp; Co, Inc. (on behalf of Merrill Lynch</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Asset Management Group ("AMG")) - now known as Merrill Lynch Investment Managers ("MLIM")</w:t>
      </w:r>
    </w:p>
    <w:p>
      <w:pPr>
        <w:sectPr>
          <w:pgSz w:w="11900" w:h="16838" w:orient="portrait"/>
          <w:cols w:equalWidth="0" w:num="1">
            <w:col w:w="10219"/>
          </w:cols>
          <w:pgMar w:left="240" w:top="142" w:right="1440" w:bottom="336"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Merrill Lynch Investment Managers ("MLIM") of ML&amp;Co. is comprised of the following legal entities: Merrill Lynch Investment Managers, L.P. ("MLIMLP"), doing business as Merrill Lynch Investment Managers; QA Advisers, LLC ("QA") doing business as Merrill Lynch Investment Managers Quantitative Advisers; Fund Asset Management, L.P., doing business as Fund Asset Management ("FAM"); Merrill Lynch Asset Management U.K. Limited ("MLAM UK"); Merrill Lynch (Suisse) Investment Management Limited ("MLS"); Merrill Lynch Investment Managers International Limited ("MLIMI"); Merrill Lynch Investment Managers, Ltd. Merrill Lynch Investment Managers (Asia Pacific Limited); Merrill Lynch Investment Managers Limited (Australia); Merrill Lynch Investment Managers (Isle of Man) Limited; Merrill Lynch Investment Managers Asia Limited; Merrill Lynch Investment Managers Kapitalanlagegesellschaft MBH; Munich London Investment Management, Ltd.; Merrill Lynch Investment Managers Ltda.; Merrill Lynch Investment Managers Japan Limited; Merrill Lynch Investment Managers Canada, Inc.; DSP Merrill Lynch Asset Management(India) Limited; PT Merrill Lynch Indonesia; Merrill Lynch Phatra Securities Co., Ltd.; Merrill Lynch Global Asset Management, Limited; Merrill Lynch Investment Managers Channel Islands Limited; Mercury Asset Management International Channel Islands Limited ("MAMCI"); Grosvenor Venture Managers Limited; and Merrill Lynch Fund Managers Limited. Each of MLIM LP, FAM, MLAM UK, MAMCI, QA, MLS, and MLIMI is an investment adviser registered under Section 203 of the Investment Advisers Act of 1940, which acts as investment adviser operating under the laws of a jurisdiction other than the United States. The investment advisers that comprise MLIM exercise voting and investment powers over portfolio securities independently from other direct and indirect subsidiaries of ML&amp;Co.</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upperLetter"/>
      <w:start w:val="2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7"/>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2019-12-19T21:06:08Z</dcterms:created>
  <dcterms:modified xsi:type="dcterms:W3CDTF">2019-12-19T21:06:08Z</dcterms:modified>
</cp:coreProperties>
</file>