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-10795</wp:posOffset>
            </wp:positionV>
            <wp:extent cx="144780" cy="196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6215"/>
                    </a:xfrm>
                    <a:prstGeom prst="rect">
                      <a:avLst/>
                    </a:prstGeom>
                    <a:noFill/>
                  </pic:spPr>
                </pic:pic>
              </a:graphicData>
            </a:graphic>
          </wp:anchor>
        </w:drawing>
      </w:r>
    </w:p>
    <w:p>
      <w:pPr>
        <w:jc w:val="both"/>
        <w:ind w:left="360" w:right="360" w:hanging="272"/>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80" w:type="dxa"/>
            <w:vAlign w:val="bottom"/>
          </w:tcPr>
          <w:p>
            <w:pPr>
              <w:jc w:val="center"/>
              <w:ind w:right="19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9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8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5494655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20955</wp:posOffset>
            </wp:positionV>
            <wp:extent cx="7322820" cy="6930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930390"/>
                    </a:xfrm>
                    <a:prstGeom prst="rect">
                      <a:avLst/>
                    </a:prstGeom>
                    <a:noFill/>
                  </pic:spPr>
                </pic:pic>
              </a:graphicData>
            </a:graphic>
          </wp:anchor>
        </w:drawing>
      </w:r>
    </w:p>
    <w:p>
      <w:pPr>
        <w:spacing w:after="0" w:line="42" w:lineRule="exact"/>
        <w:rPr>
          <w:sz w:val="24"/>
          <w:szCs w:val="24"/>
          <w:color w:val="auto"/>
        </w:rPr>
      </w:pPr>
    </w:p>
    <w:p>
      <w:pPr>
        <w:sectPr>
          <w:pgSz w:w="11900" w:h="16881" w:orient="portrait"/>
          <w:cols w:equalWidth="0" w:num="2">
            <w:col w:w="2340" w:space="300"/>
            <w:col w:w="8880"/>
          </w:cols>
          <w:pgMar w:left="240" w:top="226" w:right="139" w:bottom="0" w:gutter="0" w:footer="0" w:header="0"/>
        </w:sectPr>
      </w:pPr>
    </w:p>
    <w:tbl>
      <w:tblPr>
        <w:tblLayout w:type="fixed"/>
        <w:tblInd w:w="80" w:type="dxa"/>
        <w:tblCellMar>
          <w:top w:w="0" w:type="dxa"/>
          <w:left w:w="0" w:type="dxa"/>
          <w:bottom w:w="0" w:type="dxa"/>
          <w:right w:w="0" w:type="dxa"/>
        </w:tblCellMar>
      </w:tblPr>
      <w:tr>
        <w:trPr>
          <w:trHeight w:val="253"/>
        </w:trPr>
        <w:tc>
          <w:tcPr>
            <w:tcW w:w="260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OCONNOR DEBORAH A</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0"/>
                <w:szCs w:val="20"/>
                <w:color w:val="0000EE"/>
              </w:rPr>
            </w:pPr>
            <w:hyperlink r:id="rId13">
              <w:r>
                <w:rPr>
                  <w:rFonts w:ascii="Arial" w:cs="Arial" w:eastAsia="Arial" w:hAnsi="Arial"/>
                  <w:sz w:val="20"/>
                  <w:szCs w:val="20"/>
                  <w:color w:val="0000EE"/>
                </w:rPr>
                <w:t xml:space="preserve">MAPLEBY HOLDINGS MERGER Corp </w:t>
              </w:r>
            </w:hyperlink>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60" w:type="dxa"/>
            <w:vAlign w:val="bottom"/>
            <w:gridSpan w:val="3"/>
            <w:vMerge w:val="continu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40" w:type="dxa"/>
            <w:vAlign w:val="bottom"/>
          </w:tcPr>
          <w:p>
            <w:pPr>
              <w:spacing w:after="0"/>
              <w:rPr>
                <w:sz w:val="5"/>
                <w:szCs w:val="5"/>
                <w:color w:val="auto"/>
              </w:rPr>
            </w:pPr>
          </w:p>
        </w:tc>
        <w:tc>
          <w:tcPr>
            <w:tcW w:w="256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98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OMX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4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OFFICEMAX INCORPORATED</w:t>
            </w:r>
          </w:p>
        </w:tc>
        <w:tc>
          <w:tcPr>
            <w:tcW w:w="80" w:type="dxa"/>
            <w:vAlign w:val="bottom"/>
          </w:tcPr>
          <w:p>
            <w:pPr>
              <w:spacing w:after="0"/>
              <w:rPr>
                <w:sz w:val="8"/>
                <w:szCs w:val="8"/>
                <w:color w:val="auto"/>
              </w:rPr>
            </w:pPr>
          </w:p>
        </w:tc>
        <w:tc>
          <w:tcPr>
            <w:tcW w:w="3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continue"/>
          </w:tcPr>
          <w:p>
            <w:pPr>
              <w:spacing w:after="0"/>
              <w:rPr>
                <w:sz w:val="19"/>
                <w:szCs w:val="19"/>
                <w:color w:val="auto"/>
              </w:rPr>
            </w:pPr>
          </w:p>
        </w:tc>
        <w:tc>
          <w:tcPr>
            <w:tcW w:w="3780" w:type="dxa"/>
            <w:vAlign w:val="bottom"/>
            <w:gridSpan w:val="3"/>
          </w:tcPr>
          <w:p>
            <w:pPr>
              <w:ind w:left="160"/>
              <w:spacing w:after="0"/>
              <w:rPr>
                <w:sz w:val="20"/>
                <w:szCs w:val="20"/>
                <w:color w:val="auto"/>
              </w:rPr>
            </w:pPr>
            <w:r>
              <w:rPr>
                <w:rFonts w:ascii="Arial" w:cs="Arial" w:eastAsia="Arial" w:hAnsi="Arial"/>
                <w:sz w:val="17"/>
                <w:szCs w:val="17"/>
                <w:color w:val="0000FF"/>
              </w:rPr>
              <w:t>11/05/2013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263 SHUMAN BLVD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4" w:right="620" w:hanging="4"/>
        <w:spacing w:after="0" w:line="257" w:lineRule="auto"/>
        <w:tabs>
          <w:tab w:leader="none" w:pos="15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0"/>
          <w:szCs w:val="20"/>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24"/>
        <w:spacing w:after="0"/>
        <w:rPr>
          <w:sz w:val="20"/>
          <w:szCs w:val="20"/>
          <w:color w:val="auto"/>
        </w:rPr>
      </w:pPr>
      <w:r>
        <w:rPr>
          <w:rFonts w:ascii="Arial" w:cs="Arial" w:eastAsia="Arial" w:hAnsi="Arial"/>
          <w:sz w:val="17"/>
          <w:szCs w:val="17"/>
          <w:color w:val="0000FF"/>
        </w:rPr>
        <w:t>Interim CFO, SVP and CAO</w:t>
      </w:r>
    </w:p>
    <w:p>
      <w:pPr>
        <w:spacing w:after="0" w:line="410" w:lineRule="exact"/>
        <w:rPr>
          <w:sz w:val="20"/>
          <w:szCs w:val="20"/>
          <w:color w:val="auto"/>
        </w:rPr>
      </w:pPr>
    </w:p>
    <w:p>
      <w:pPr>
        <w:sectPr>
          <w:pgSz w:w="11900" w:h="16881" w:orient="portrait"/>
          <w:cols w:equalWidth="0" w:num="2">
            <w:col w:w="7980" w:space="76"/>
            <w:col w:w="3464"/>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NAPERVILLE  IL</w:t>
            </w:r>
          </w:p>
        </w:tc>
        <w:tc>
          <w:tcPr>
            <w:tcW w:w="1020" w:type="dxa"/>
            <w:vAlign w:val="bottom"/>
          </w:tcPr>
          <w:p>
            <w:pPr>
              <w:spacing w:after="0"/>
              <w:rPr>
                <w:sz w:val="11"/>
                <w:szCs w:val="11"/>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60563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4"/>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60" w:type="dxa"/>
            <w:vAlign w:val="bottom"/>
            <w:gridSpan w:val="3"/>
          </w:tcPr>
          <w:p>
            <w:pPr>
              <w:ind w:left="84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960" w:type="dxa"/>
            <w:vAlign w:val="bottom"/>
            <w:gridSpan w:val="3"/>
          </w:tcPr>
          <w:p>
            <w:pPr>
              <w:ind w:left="940"/>
              <w:spacing w:after="0"/>
              <w:rPr>
                <w:sz w:val="20"/>
                <w:szCs w:val="20"/>
                <w:color w:val="auto"/>
              </w:rPr>
            </w:pPr>
            <w:r>
              <w:rPr>
                <w:rFonts w:ascii="Arial" w:cs="Arial" w:eastAsia="Arial" w:hAnsi="Arial"/>
                <w:sz w:val="17"/>
                <w:szCs w:val="17"/>
                <w:color w:val="0000FF"/>
              </w:rPr>
              <w:t>11/05/2013</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7"/>
                <w:szCs w:val="17"/>
                <w:color w:val="0000FF"/>
                <w:w w:val="88"/>
              </w:rPr>
              <w:t>62,201</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540" w:type="dxa"/>
            <w:vAlign w:val="bottom"/>
          </w:tcPr>
          <w:p>
            <w:pPr>
              <w:ind w:left="32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360" w:type="dxa"/>
            <w:vAlign w:val="bottom"/>
            <w:gridSpan w:val="3"/>
          </w:tcPr>
          <w:p>
            <w:pPr>
              <w:jc w:val="right"/>
              <w:ind w:right="537"/>
              <w:spacing w:after="0"/>
              <w:rPr>
                <w:sz w:val="20"/>
                <w:szCs w:val="20"/>
                <w:color w:val="auto"/>
              </w:rPr>
            </w:pPr>
            <w:r>
              <w:rPr>
                <w:rFonts w:ascii="Arial" w:cs="Arial" w:eastAsia="Arial" w:hAnsi="Arial"/>
                <w:sz w:val="17"/>
                <w:szCs w:val="17"/>
                <w:color w:val="0000FF"/>
              </w:rPr>
              <w:t>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11"/>
          </w:tcPr>
          <w:p>
            <w:pPr>
              <w:jc w:val="center"/>
              <w:ind w:left="5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jc w:val="center"/>
              <w:ind w:right="18"/>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1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28,312</w:t>
            </w:r>
          </w:p>
        </w:tc>
        <w:tc>
          <w:tcPr>
            <w:tcW w:w="40" w:type="dxa"/>
            <w:vAlign w:val="bottom"/>
          </w:tcPr>
          <w:p>
            <w:pPr>
              <w:spacing w:after="0"/>
              <w:rPr>
                <w:sz w:val="12"/>
                <w:szCs w:val="12"/>
                <w:color w:val="auto"/>
              </w:rPr>
            </w:pPr>
          </w:p>
        </w:tc>
        <w:tc>
          <w:tcPr>
            <w:tcW w:w="74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line="13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4.24</w:t>
            </w:r>
          </w:p>
        </w:tc>
        <w:tc>
          <w:tcPr>
            <w:tcW w:w="1020" w:type="dxa"/>
            <w:vAlign w:val="bottom"/>
          </w:tcPr>
          <w:p>
            <w:pPr>
              <w:jc w:val="center"/>
              <w:spacing w:after="0" w:line="132" w:lineRule="exact"/>
              <w:rPr>
                <w:sz w:val="20"/>
                <w:szCs w:val="20"/>
                <w:color w:val="auto"/>
              </w:rPr>
            </w:pPr>
            <w:r>
              <w:rPr>
                <w:rFonts w:ascii="Arial" w:cs="Arial" w:eastAsia="Arial" w:hAnsi="Arial"/>
                <w:sz w:val="13"/>
                <w:szCs w:val="13"/>
                <w:color w:val="0000FF"/>
                <w:w w:val="92"/>
              </w:rPr>
              <w:t>11/05/2013</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3"/>
                <w:szCs w:val="13"/>
                <w:color w:val="0000FF"/>
              </w:rPr>
              <w:t>D</w:t>
            </w:r>
          </w:p>
        </w:tc>
        <w:tc>
          <w:tcPr>
            <w:tcW w:w="940" w:type="dxa"/>
            <w:vAlign w:val="bottom"/>
          </w:tcPr>
          <w:p>
            <w:pPr>
              <w:ind w:left="460"/>
              <w:spacing w:after="0" w:line="132" w:lineRule="exact"/>
              <w:rPr>
                <w:sz w:val="20"/>
                <w:szCs w:val="20"/>
                <w:color w:val="auto"/>
              </w:rPr>
            </w:pPr>
            <w:r>
              <w:rPr>
                <w:rFonts w:ascii="Arial" w:cs="Arial" w:eastAsia="Arial" w:hAnsi="Arial"/>
                <w:sz w:val="13"/>
                <w:szCs w:val="13"/>
                <w:color w:val="0000FF"/>
              </w:rPr>
              <w:t>28,312</w:t>
            </w:r>
          </w:p>
        </w:tc>
        <w:tc>
          <w:tcPr>
            <w:tcW w:w="800" w:type="dxa"/>
            <w:vAlign w:val="bottom"/>
            <w:gridSpan w:val="2"/>
            <w:vMerge w:val="continue"/>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02/12/2016</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tcPr>
          <w:p>
            <w:pPr>
              <w:ind w:left="400"/>
              <w:spacing w:after="0" w:line="13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ind w:left="100"/>
              <w:spacing w:after="0" w:line="14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20,034</w:t>
            </w:r>
          </w:p>
        </w:tc>
        <w:tc>
          <w:tcPr>
            <w:tcW w:w="40" w:type="dxa"/>
            <w:vAlign w:val="bottom"/>
          </w:tcPr>
          <w:p>
            <w:pPr>
              <w:spacing w:after="0"/>
              <w:rPr>
                <w:sz w:val="12"/>
                <w:szCs w:val="12"/>
                <w:color w:val="auto"/>
              </w:rPr>
            </w:pPr>
          </w:p>
        </w:tc>
        <w:tc>
          <w:tcPr>
            <w:tcW w:w="74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line="132"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12.82</w:t>
            </w:r>
          </w:p>
        </w:tc>
        <w:tc>
          <w:tcPr>
            <w:tcW w:w="1020" w:type="dxa"/>
            <w:vAlign w:val="bottom"/>
          </w:tcPr>
          <w:p>
            <w:pPr>
              <w:jc w:val="center"/>
              <w:spacing w:after="0" w:line="132" w:lineRule="exact"/>
              <w:rPr>
                <w:sz w:val="20"/>
                <w:szCs w:val="20"/>
                <w:color w:val="auto"/>
              </w:rPr>
            </w:pPr>
            <w:r>
              <w:rPr>
                <w:rFonts w:ascii="Arial" w:cs="Arial" w:eastAsia="Arial" w:hAnsi="Arial"/>
                <w:sz w:val="13"/>
                <w:szCs w:val="13"/>
                <w:color w:val="0000FF"/>
                <w:w w:val="92"/>
              </w:rPr>
              <w:t>11/05/2013</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3"/>
                <w:szCs w:val="13"/>
                <w:color w:val="0000FF"/>
              </w:rPr>
              <w:t>D</w:t>
            </w:r>
          </w:p>
        </w:tc>
        <w:tc>
          <w:tcPr>
            <w:tcW w:w="940" w:type="dxa"/>
            <w:vAlign w:val="bottom"/>
          </w:tcPr>
          <w:p>
            <w:pPr>
              <w:ind w:left="460"/>
              <w:spacing w:after="0" w:line="132" w:lineRule="exact"/>
              <w:rPr>
                <w:sz w:val="20"/>
                <w:szCs w:val="20"/>
                <w:color w:val="auto"/>
              </w:rPr>
            </w:pPr>
            <w:r>
              <w:rPr>
                <w:rFonts w:ascii="Arial" w:cs="Arial" w:eastAsia="Arial" w:hAnsi="Arial"/>
                <w:sz w:val="13"/>
                <w:szCs w:val="13"/>
                <w:color w:val="0000FF"/>
              </w:rPr>
              <w:t>20,034</w:t>
            </w:r>
          </w:p>
        </w:tc>
        <w:tc>
          <w:tcPr>
            <w:tcW w:w="800" w:type="dxa"/>
            <w:vAlign w:val="bottom"/>
            <w:gridSpan w:val="2"/>
            <w:vMerge w:val="continue"/>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02/11/2017</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tcPr>
          <w:p>
            <w:pPr>
              <w:ind w:left="400"/>
              <w:spacing w:after="0" w:line="13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ind w:left="100"/>
              <w:spacing w:after="0" w:line="14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19,343</w:t>
            </w:r>
          </w:p>
        </w:tc>
        <w:tc>
          <w:tcPr>
            <w:tcW w:w="40" w:type="dxa"/>
            <w:vAlign w:val="bottom"/>
          </w:tcPr>
          <w:p>
            <w:pPr>
              <w:spacing w:after="0"/>
              <w:rPr>
                <w:sz w:val="12"/>
                <w:szCs w:val="12"/>
                <w:color w:val="auto"/>
              </w:rPr>
            </w:pPr>
          </w:p>
        </w:tc>
        <w:tc>
          <w:tcPr>
            <w:tcW w:w="74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rPr>
              <w:t>(4)</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line="132"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14.89</w:t>
            </w:r>
          </w:p>
        </w:tc>
        <w:tc>
          <w:tcPr>
            <w:tcW w:w="1020" w:type="dxa"/>
            <w:vAlign w:val="bottom"/>
          </w:tcPr>
          <w:p>
            <w:pPr>
              <w:jc w:val="center"/>
              <w:spacing w:after="0" w:line="132" w:lineRule="exact"/>
              <w:rPr>
                <w:sz w:val="20"/>
                <w:szCs w:val="20"/>
                <w:color w:val="auto"/>
              </w:rPr>
            </w:pPr>
            <w:r>
              <w:rPr>
                <w:rFonts w:ascii="Arial" w:cs="Arial" w:eastAsia="Arial" w:hAnsi="Arial"/>
                <w:sz w:val="13"/>
                <w:szCs w:val="13"/>
                <w:color w:val="0000FF"/>
                <w:w w:val="92"/>
              </w:rPr>
              <w:t>11/05/2013</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3"/>
                <w:szCs w:val="13"/>
                <w:color w:val="0000FF"/>
              </w:rPr>
              <w:t>D</w:t>
            </w:r>
          </w:p>
        </w:tc>
        <w:tc>
          <w:tcPr>
            <w:tcW w:w="940" w:type="dxa"/>
            <w:vAlign w:val="bottom"/>
          </w:tcPr>
          <w:p>
            <w:pPr>
              <w:ind w:left="460"/>
              <w:spacing w:after="0" w:line="132" w:lineRule="exact"/>
              <w:rPr>
                <w:sz w:val="20"/>
                <w:szCs w:val="20"/>
                <w:color w:val="auto"/>
              </w:rPr>
            </w:pPr>
            <w:r>
              <w:rPr>
                <w:rFonts w:ascii="Arial" w:cs="Arial" w:eastAsia="Arial" w:hAnsi="Arial"/>
                <w:sz w:val="13"/>
                <w:szCs w:val="13"/>
                <w:color w:val="0000FF"/>
              </w:rPr>
              <w:t>19,343</w:t>
            </w:r>
          </w:p>
        </w:tc>
        <w:tc>
          <w:tcPr>
            <w:tcW w:w="800" w:type="dxa"/>
            <w:vAlign w:val="bottom"/>
            <w:gridSpan w:val="2"/>
            <w:vMerge w:val="continue"/>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02/09/2018</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tcPr>
          <w:p>
            <w:pPr>
              <w:ind w:left="400"/>
              <w:spacing w:after="0" w:line="13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ind w:left="100"/>
              <w:spacing w:after="0" w:line="14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25,637</w:t>
            </w:r>
          </w:p>
        </w:tc>
        <w:tc>
          <w:tcPr>
            <w:tcW w:w="40" w:type="dxa"/>
            <w:vAlign w:val="bottom"/>
          </w:tcPr>
          <w:p>
            <w:pPr>
              <w:spacing w:after="0"/>
              <w:rPr>
                <w:sz w:val="12"/>
                <w:szCs w:val="12"/>
                <w:color w:val="auto"/>
              </w:rPr>
            </w:pPr>
          </w:p>
        </w:tc>
        <w:tc>
          <w:tcPr>
            <w:tcW w:w="74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rPr>
              <w:t>(5)</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line="132"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4.92</w:t>
            </w:r>
          </w:p>
        </w:tc>
        <w:tc>
          <w:tcPr>
            <w:tcW w:w="1020" w:type="dxa"/>
            <w:vAlign w:val="bottom"/>
          </w:tcPr>
          <w:p>
            <w:pPr>
              <w:jc w:val="center"/>
              <w:spacing w:after="0" w:line="132" w:lineRule="exact"/>
              <w:rPr>
                <w:sz w:val="20"/>
                <w:szCs w:val="20"/>
                <w:color w:val="auto"/>
              </w:rPr>
            </w:pPr>
            <w:r>
              <w:rPr>
                <w:rFonts w:ascii="Arial" w:cs="Arial" w:eastAsia="Arial" w:hAnsi="Arial"/>
                <w:sz w:val="13"/>
                <w:szCs w:val="13"/>
                <w:color w:val="0000FF"/>
                <w:w w:val="92"/>
              </w:rPr>
              <w:t>11/05/2013</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3"/>
                <w:szCs w:val="13"/>
                <w:color w:val="0000FF"/>
              </w:rPr>
              <w:t>D</w:t>
            </w:r>
          </w:p>
        </w:tc>
        <w:tc>
          <w:tcPr>
            <w:tcW w:w="940" w:type="dxa"/>
            <w:vAlign w:val="bottom"/>
          </w:tcPr>
          <w:p>
            <w:pPr>
              <w:ind w:left="460"/>
              <w:spacing w:after="0" w:line="132" w:lineRule="exact"/>
              <w:rPr>
                <w:sz w:val="20"/>
                <w:szCs w:val="20"/>
                <w:color w:val="auto"/>
              </w:rPr>
            </w:pPr>
            <w:r>
              <w:rPr>
                <w:rFonts w:ascii="Arial" w:cs="Arial" w:eastAsia="Arial" w:hAnsi="Arial"/>
                <w:sz w:val="13"/>
                <w:szCs w:val="13"/>
                <w:color w:val="0000FF"/>
              </w:rPr>
              <w:t>25,637</w:t>
            </w:r>
          </w:p>
        </w:tc>
        <w:tc>
          <w:tcPr>
            <w:tcW w:w="800" w:type="dxa"/>
            <w:vAlign w:val="bottom"/>
            <w:gridSpan w:val="2"/>
            <w:vMerge w:val="continue"/>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02/16/2019</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tcPr>
          <w:p>
            <w:pPr>
              <w:ind w:left="400"/>
              <w:spacing w:after="0" w:line="13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ind w:left="100"/>
              <w:spacing w:after="0" w:line="14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8"/>
        <w:spacing w:after="0" w:line="249" w:lineRule="auto"/>
        <w:tabs>
          <w:tab w:leader="none" w:pos="17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Disposed of pursuant to a merger agreement between OfficeMax Incorporated (the "Company"), Office Depot, Inc. ("ODP") and their respective subsidiaries, in exchange for 93,555 shares of ODP common stock and 73,766 ODP restricted stock units, on the effective date of the merger (such merger, the "Merger") (in accordance with the exchange ratio set forth in the merger agreement pursuant to which each share of the Company's common stock was exchanged for 2.69 shares of ODP common stock). The closing price of ODP common stock on November 5, 2013 (the effective date of the merger) was $5.65 per share.</w:t>
      </w:r>
    </w:p>
    <w:p>
      <w:pPr>
        <w:spacing w:after="0" w:line="25" w:lineRule="exact"/>
        <w:rPr>
          <w:rFonts w:ascii="Arial" w:cs="Arial" w:eastAsia="Arial" w:hAnsi="Arial"/>
          <w:sz w:val="13"/>
          <w:szCs w:val="13"/>
          <w:color w:val="008000"/>
        </w:rPr>
      </w:pPr>
    </w:p>
    <w:p>
      <w:pPr>
        <w:ind w:left="40" w:right="320" w:firstLine="8"/>
        <w:spacing w:after="0" w:line="273" w:lineRule="auto"/>
        <w:tabs>
          <w:tab w:leader="none" w:pos="17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2/12/2009 grant date, was assumed by ODP in connection with the Merger and replaced with an option to purchase 76,159 shares of ODP common stock for $1.58 per share.</w:t>
      </w:r>
    </w:p>
    <w:p>
      <w:pPr>
        <w:spacing w:after="0" w:line="9" w:lineRule="exact"/>
        <w:rPr>
          <w:rFonts w:ascii="Arial" w:cs="Arial" w:eastAsia="Arial" w:hAnsi="Arial"/>
          <w:sz w:val="13"/>
          <w:szCs w:val="13"/>
          <w:color w:val="008000"/>
        </w:rPr>
      </w:pPr>
    </w:p>
    <w:p>
      <w:pPr>
        <w:ind w:left="40" w:right="340" w:firstLine="8"/>
        <w:spacing w:after="0" w:line="273" w:lineRule="auto"/>
        <w:tabs>
          <w:tab w:leader="none" w:pos="17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2/11/2010 grant date, was assumed by ODP in connection with the Merger and replaced with an option to purchase 53,891 shares of ODP common stock for $4.77 per share.</w:t>
      </w:r>
    </w:p>
    <w:p>
      <w:pPr>
        <w:spacing w:after="0" w:line="9" w:lineRule="exact"/>
        <w:rPr>
          <w:rFonts w:ascii="Arial" w:cs="Arial" w:eastAsia="Arial" w:hAnsi="Arial"/>
          <w:sz w:val="13"/>
          <w:szCs w:val="13"/>
          <w:color w:val="008000"/>
        </w:rPr>
      </w:pPr>
    </w:p>
    <w:p>
      <w:pPr>
        <w:ind w:left="40" w:right="400" w:firstLine="8"/>
        <w:spacing w:after="0" w:line="273" w:lineRule="auto"/>
        <w:tabs>
          <w:tab w:leader="none" w:pos="17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2/9/2011 grant date, was assumed by ODP in connection with the Merger and replaced with an option to purchase 52,032 shares of ODP common stock for $5.54 per share.</w:t>
      </w:r>
    </w:p>
    <w:p>
      <w:pPr>
        <w:spacing w:after="0" w:line="9" w:lineRule="exact"/>
        <w:rPr>
          <w:rFonts w:ascii="Arial" w:cs="Arial" w:eastAsia="Arial" w:hAnsi="Arial"/>
          <w:sz w:val="13"/>
          <w:szCs w:val="13"/>
          <w:color w:val="008000"/>
        </w:rPr>
      </w:pPr>
    </w:p>
    <w:p>
      <w:pPr>
        <w:ind w:left="40" w:right="320" w:firstLine="8"/>
        <w:spacing w:after="0" w:line="273" w:lineRule="auto"/>
        <w:tabs>
          <w:tab w:leader="none" w:pos="17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2/16/2012 grant date, was assumed by ODP in connection with the Merger and replaced with an option to purchase 68,963 shares of ODP common stock for $1.83 per share.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In connection with the Merger (defined in the footnotes above), Mapleby Holdings Merger Corporation has become the successor registrant to OfficeMax Incorporated.</w:t>
      </w:r>
    </w:p>
    <w:p>
      <w:pPr>
        <w:spacing w:after="0" w:line="50"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Susan Wagner-Fleming, by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11/07/2013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rPr>
                <w:sz w:val="20"/>
                <w:szCs w:val="20"/>
                <w:color w:val="auto"/>
              </w:rPr>
            </w:pPr>
            <w:r>
              <w:rPr>
                <w:rFonts w:ascii="Arial" w:cs="Arial" w:eastAsia="Arial" w:hAnsi="Arial"/>
                <w:sz w:val="17"/>
                <w:szCs w:val="17"/>
                <w:color w:val="0000FF"/>
                <w:w w:val="98"/>
              </w:rPr>
              <w:t>POA from Deborah O'Connor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gridSpan w:val="2"/>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81" w:orient="portrait"/>
          <w:cols w:equalWidth="0" w:num="1">
            <w:col w:w="11520"/>
          </w:cols>
          <w:pgMar w:left="240" w:top="226" w:right="139" w:bottom="0" w:gutter="0" w:footer="0" w:header="0"/>
          <w:type w:val="continuous"/>
        </w:sectPr>
      </w:pPr>
    </w:p>
    <w:bookmarkStart w:id="1" w:name="page2"/>
    <w:bookmarkEnd w:id="1"/>
    <w:p>
      <w:pPr>
        <w:jc w:val="both"/>
        <w:ind w:right="2500" w:firstLine="8"/>
        <w:spacing w:after="0" w:line="322" w:lineRule="auto"/>
        <w:tabs>
          <w:tab w:leader="none" w:pos="14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80"/>
      </w:cols>
      <w:pgMar w:left="280" w:top="165"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6797" TargetMode="External"/><Relationship Id="rId13" Type="http://schemas.openxmlformats.org/officeDocument/2006/relationships/hyperlink" Target="http://www.sec.gov/cgi-bin/browse-edgar?action=getcompany&amp;CIK=0000012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2019-12-15T23:16:20Z</dcterms:created>
  <dcterms:modified xsi:type="dcterms:W3CDTF">2019-12-15T23:16:20Z</dcterms:modified>
</cp:coreProperties>
</file>