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Boise Cascade Corporation</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 $2.50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097383103</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October 31, 2001</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3380" w:right="5059" w:hanging="1"/>
        <w:spacing w:after="0" w:line="279" w:lineRule="auto"/>
        <w:tabs>
          <w:tab w:leader="none" w:pos="380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9 pages</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Forstmann-Leff Associates, LLC</w:t>
      </w:r>
    </w:p>
    <w:p>
      <w:pPr>
        <w:ind w:left="320"/>
        <w:spacing w:after="0" w:line="238" w:lineRule="auto"/>
        <w:rPr>
          <w:sz w:val="20"/>
          <w:szCs w:val="20"/>
          <w:color w:val="auto"/>
        </w:rPr>
      </w:pPr>
      <w:r>
        <w:rPr>
          <w:rFonts w:ascii="Courier New" w:cs="Courier New" w:eastAsia="Courier New" w:hAnsi="Courier New"/>
          <w:sz w:val="18"/>
          <w:szCs w:val="18"/>
          <w:color w:val="auto"/>
        </w:rPr>
        <w:t>52-2169043</w:t>
      </w:r>
    </w:p>
    <w:p>
      <w:pPr>
        <w:spacing w:after="0" w:line="202"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5480" w:hanging="416"/>
        <w:spacing w:after="0"/>
        <w:tabs>
          <w:tab w:leader="none" w:pos="54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80" w:hanging="416"/>
        <w:spacing w:after="0"/>
        <w:tabs>
          <w:tab w:leader="none" w:pos="54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7" w:lineRule="exact"/>
        <w:rPr>
          <w:sz w:val="24"/>
          <w:szCs w:val="24"/>
          <w:color w:val="auto"/>
        </w:rPr>
      </w:pPr>
    </w:p>
    <w:p>
      <w:pPr>
        <w:ind w:left="320" w:right="6099" w:hanging="312"/>
        <w:spacing w:after="0" w:line="470" w:lineRule="auto"/>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4"/>
          <w:szCs w:val="24"/>
          <w:color w:val="auto"/>
        </w:rPr>
      </w:pPr>
    </w:p>
    <w:tbl>
      <w:tblPr>
        <w:tblLayout w:type="fixed"/>
        <w:tblInd w:w="22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857,083 shares</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583,500 shares</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1,153,640 shares</w:t>
            </w:r>
          </w:p>
        </w:tc>
      </w:tr>
      <w:tr>
        <w:trPr>
          <w:trHeight w:val="405"/>
        </w:trPr>
        <w:tc>
          <w:tcPr>
            <w:tcW w:w="1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1,218,250 shares</w:t>
            </w:r>
          </w:p>
        </w:tc>
      </w:tr>
    </w:tbl>
    <w:p>
      <w:pPr>
        <w:sectPr>
          <w:pgSz w:w="11900" w:h="16838" w:orient="portrait"/>
          <w:cols w:equalWidth="0" w:num="1">
            <w:col w:w="10219"/>
          </w:cols>
          <w:pgMar w:left="240" w:top="244" w:right="1440" w:bottom="0" w:gutter="0" w:footer="0" w:header="0"/>
        </w:sectPr>
      </w:pPr>
    </w:p>
    <w:bookmarkStart w:id="1" w:name="page2"/>
    <w:bookmarkEnd w:id="1"/>
    <w:p>
      <w:pPr>
        <w:ind w:left="412" w:hanging="412"/>
        <w:spacing w:after="0"/>
        <w:tabs>
          <w:tab w:leader="none" w:pos="41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952" w:right="2199"/>
        <w:spacing w:after="0" w:line="236" w:lineRule="auto"/>
        <w:rPr>
          <w:sz w:val="20"/>
          <w:szCs w:val="20"/>
          <w:color w:val="auto"/>
        </w:rPr>
      </w:pPr>
      <w:r>
        <w:rPr>
          <w:rFonts w:ascii="Courier New" w:cs="Courier New" w:eastAsia="Courier New" w:hAnsi="Courier New"/>
          <w:sz w:val="18"/>
          <w:szCs w:val="18"/>
          <w:color w:val="auto"/>
        </w:rPr>
        <w:t>2,371,890 shares (includes shares beneficially owned by FLA Asset Management, LLC, FLA Advisers L.L.C. and Forstmann-Leff International, LLC)</w:t>
      </w:r>
    </w:p>
    <w:p>
      <w:pPr>
        <w:spacing w:after="0" w:line="209" w:lineRule="exact"/>
        <w:rPr>
          <w:sz w:val="20"/>
          <w:szCs w:val="20"/>
          <w:color w:val="auto"/>
        </w:rPr>
      </w:pPr>
    </w:p>
    <w:p>
      <w:pPr>
        <w:ind w:left="412" w:right="3359" w:hanging="412"/>
        <w:spacing w:after="0" w:line="235" w:lineRule="auto"/>
        <w:tabs>
          <w:tab w:leader="none" w:pos="41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3" w:lineRule="exact"/>
        <w:rPr>
          <w:sz w:val="20"/>
          <w:szCs w:val="20"/>
          <w:color w:val="auto"/>
        </w:rPr>
      </w:pPr>
    </w:p>
    <w:p>
      <w:pPr>
        <w:ind w:left="6212"/>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12" w:right="4839" w:hanging="412"/>
        <w:spacing w:after="0" w:line="470" w:lineRule="auto"/>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4.1%</w:t>
      </w:r>
    </w:p>
    <w:p>
      <w:pPr>
        <w:spacing w:after="0" w:line="11" w:lineRule="exact"/>
        <w:rPr>
          <w:rFonts w:ascii="Courier New" w:cs="Courier New" w:eastAsia="Courier New" w:hAnsi="Courier New"/>
          <w:sz w:val="18"/>
          <w:szCs w:val="18"/>
          <w:color w:val="auto"/>
        </w:rPr>
      </w:pPr>
    </w:p>
    <w:p>
      <w:pPr>
        <w:ind w:left="412" w:right="7259" w:hanging="412"/>
        <w:spacing w:after="0" w:line="470" w:lineRule="auto"/>
        <w:tabs>
          <w:tab w:leader="none" w:pos="41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OO</w:t>
      </w:r>
    </w:p>
    <w:p>
      <w:pPr>
        <w:sectPr>
          <w:pgSz w:w="11900" w:h="16838" w:orient="portrait"/>
          <w:cols w:equalWidth="0" w:num="1">
            <w:col w:w="10211"/>
          </w:cols>
          <w:pgMar w:left="248" w:top="339" w:right="1440" w:bottom="1440" w:gutter="0" w:footer="0" w:header="0"/>
        </w:sectPr>
      </w:pPr>
    </w:p>
    <w:bookmarkStart w:id="2" w:name="page3"/>
    <w:bookmarkEnd w:id="2"/>
    <w:p>
      <w:pPr>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9 pages</w:t>
      </w:r>
    </w:p>
    <w:p>
      <w:pPr>
        <w:spacing w:after="0" w:line="201" w:lineRule="exact"/>
        <w:rPr>
          <w:sz w:val="20"/>
          <w:szCs w:val="20"/>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FLA Asset Management, LLC</w:t>
      </w:r>
    </w:p>
    <w:p>
      <w:pPr>
        <w:ind w:left="320"/>
        <w:spacing w:after="0" w:line="238" w:lineRule="auto"/>
        <w:rPr>
          <w:sz w:val="20"/>
          <w:szCs w:val="20"/>
          <w:color w:val="auto"/>
        </w:rPr>
      </w:pPr>
      <w:r>
        <w:rPr>
          <w:rFonts w:ascii="Courier New" w:cs="Courier New" w:eastAsia="Courier New" w:hAnsi="Courier New"/>
          <w:sz w:val="18"/>
          <w:szCs w:val="18"/>
          <w:color w:val="auto"/>
        </w:rPr>
        <w:t>52-2169045</w:t>
      </w:r>
    </w:p>
    <w:p>
      <w:pPr>
        <w:spacing w:after="0" w:line="202" w:lineRule="exact"/>
        <w:rPr>
          <w:sz w:val="20"/>
          <w:szCs w:val="20"/>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80" w:hanging="416"/>
        <w:spacing w:after="0" w:line="238" w:lineRule="auto"/>
        <w:tabs>
          <w:tab w:leader="none" w:pos="5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80" w:hanging="416"/>
        <w:spacing w:after="0"/>
        <w:tabs>
          <w:tab w:leader="none" w:pos="548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ind w:left="2120"/>
        <w:spacing w:after="0"/>
        <w:tabs>
          <w:tab w:leader="none" w:pos="242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SOLE VOTING POWER</w:t>
      </w:r>
    </w:p>
    <w:p>
      <w:pPr>
        <w:ind w:left="320"/>
        <w:spacing w:after="0" w:line="238" w:lineRule="auto"/>
        <w:rPr>
          <w:sz w:val="20"/>
          <w:szCs w:val="20"/>
          <w:color w:val="auto"/>
        </w:rPr>
      </w:pPr>
      <w:r>
        <w:rPr>
          <w:rFonts w:ascii="Courier New" w:cs="Courier New" w:eastAsia="Courier New" w:hAnsi="Courier New"/>
          <w:sz w:val="18"/>
          <w:szCs w:val="18"/>
          <w:color w:val="auto"/>
        </w:rPr>
        <w:t>NUMBER OF</w:t>
      </w:r>
    </w:p>
    <w:p>
      <w:pPr>
        <w:ind w:left="540"/>
        <w:spacing w:after="0"/>
        <w:tabs>
          <w:tab w:leader="none" w:pos="24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ind w:left="220"/>
        <w:spacing w:after="0" w:line="237" w:lineRule="auto"/>
        <w:rPr>
          <w:sz w:val="20"/>
          <w:szCs w:val="20"/>
          <w:color w:val="auto"/>
        </w:rPr>
      </w:pPr>
      <w:r>
        <w:rPr>
          <w:rFonts w:ascii="Courier New" w:cs="Courier New" w:eastAsia="Courier New" w:hAnsi="Courier New"/>
          <w:sz w:val="18"/>
          <w:szCs w:val="18"/>
          <w:color w:val="auto"/>
        </w:rPr>
        <w:t>BENEFICIALLY</w:t>
      </w:r>
    </w:p>
    <w:p>
      <w:pPr>
        <w:ind w:left="420"/>
        <w:spacing w:after="0"/>
        <w:tabs>
          <w:tab w:leader="none" w:pos="2100" w:val="left"/>
          <w:tab w:leader="none" w:pos="2420" w:val="left"/>
        </w:tabs>
        <w:rPr>
          <w:sz w:val="20"/>
          <w:szCs w:val="20"/>
          <w:color w:val="auto"/>
        </w:rPr>
      </w:pPr>
      <w:r>
        <w:rPr>
          <w:rFonts w:ascii="Courier New" w:cs="Courier New" w:eastAsia="Courier New" w:hAnsi="Courier New"/>
          <w:sz w:val="18"/>
          <w:szCs w:val="18"/>
          <w:color w:val="auto"/>
        </w:rPr>
        <w:t>OWNED BY</w:t>
      </w:r>
      <w:r>
        <w:rPr>
          <w:sz w:val="20"/>
          <w:szCs w:val="20"/>
          <w:color w:val="auto"/>
        </w:rPr>
        <w:tab/>
      </w: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6"/>
          <w:szCs w:val="16"/>
          <w:color w:val="auto"/>
        </w:rPr>
        <w:t>SHARED VOTING POWER</w:t>
      </w:r>
    </w:p>
    <w:p>
      <w:pPr>
        <w:ind w:left="640"/>
        <w:spacing w:after="0"/>
        <w:rPr>
          <w:sz w:val="20"/>
          <w:szCs w:val="20"/>
          <w:color w:val="auto"/>
        </w:rPr>
      </w:pPr>
      <w:r>
        <w:rPr>
          <w:rFonts w:ascii="Courier New" w:cs="Courier New" w:eastAsia="Courier New" w:hAnsi="Courier New"/>
          <w:sz w:val="18"/>
          <w:szCs w:val="18"/>
          <w:color w:val="auto"/>
        </w:rPr>
        <w:t>EACH</w:t>
      </w:r>
    </w:p>
    <w:p>
      <w:pPr>
        <w:ind w:left="420"/>
        <w:spacing w:after="0" w:line="237" w:lineRule="auto"/>
        <w:tabs>
          <w:tab w:leader="none" w:pos="242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509,200</w:t>
      </w:r>
    </w:p>
    <w:p>
      <w:pPr>
        <w:ind w:left="540"/>
        <w:spacing w:after="0"/>
        <w:rPr>
          <w:sz w:val="20"/>
          <w:szCs w:val="20"/>
          <w:color w:val="auto"/>
        </w:rPr>
      </w:pPr>
      <w:r>
        <w:rPr>
          <w:rFonts w:ascii="Courier New" w:cs="Courier New" w:eastAsia="Courier New" w:hAnsi="Courier New"/>
          <w:sz w:val="18"/>
          <w:szCs w:val="18"/>
          <w:color w:val="auto"/>
        </w:rPr>
        <w:t>PERSON</w:t>
      </w:r>
    </w:p>
    <w:p>
      <w:pPr>
        <w:ind w:left="640"/>
        <w:spacing w:after="0" w:line="237" w:lineRule="auto"/>
        <w:rPr>
          <w:sz w:val="20"/>
          <w:szCs w:val="20"/>
          <w:color w:val="auto"/>
        </w:rPr>
      </w:pPr>
      <w:r>
        <w:rPr>
          <w:rFonts w:ascii="Courier New" w:cs="Courier New" w:eastAsia="Courier New" w:hAnsi="Courier New"/>
          <w:sz w:val="18"/>
          <w:szCs w:val="18"/>
          <w:color w:val="auto"/>
        </w:rPr>
        <w:t>WITH</w:t>
      </w:r>
    </w:p>
    <w:p>
      <w:pPr>
        <w:spacing w:after="0" w:line="5" w:lineRule="exact"/>
        <w:rPr>
          <w:sz w:val="20"/>
          <w:szCs w:val="20"/>
          <w:color w:val="auto"/>
        </w:rPr>
      </w:pPr>
    </w:p>
    <w:p>
      <w:pPr>
        <w:ind w:left="2440" w:right="5479" w:hanging="325"/>
        <w:spacing w:after="0" w:line="470" w:lineRule="auto"/>
        <w:tabs>
          <w:tab w:leader="none" w:pos="24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None</w:t>
      </w:r>
    </w:p>
    <w:p>
      <w:pPr>
        <w:spacing w:after="0" w:line="12" w:lineRule="exact"/>
        <w:rPr>
          <w:sz w:val="20"/>
          <w:szCs w:val="20"/>
          <w:color w:val="auto"/>
        </w:rPr>
      </w:pPr>
    </w:p>
    <w:p>
      <w:pPr>
        <w:ind w:left="2440" w:right="5259" w:hanging="325"/>
        <w:spacing w:after="0" w:line="470" w:lineRule="auto"/>
        <w:tabs>
          <w:tab w:leader="none" w:pos="24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1,143,950 shares</w:t>
      </w:r>
    </w:p>
    <w:p>
      <w:pPr>
        <w:spacing w:after="0" w:line="12" w:lineRule="exact"/>
        <w:rPr>
          <w:sz w:val="20"/>
          <w:szCs w:val="20"/>
          <w:color w:val="auto"/>
        </w:rPr>
      </w:pPr>
    </w:p>
    <w:p>
      <w:pPr>
        <w:ind w:left="420" w:right="3479" w:hanging="412"/>
        <w:spacing w:after="0" w:line="470" w:lineRule="auto"/>
        <w:tabs>
          <w:tab w:leader="none" w:pos="42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1,143,950 shares</w:t>
      </w:r>
    </w:p>
    <w:p>
      <w:pPr>
        <w:spacing w:after="0" w:line="12" w:lineRule="exact"/>
        <w:rPr>
          <w:sz w:val="20"/>
          <w:szCs w:val="20"/>
          <w:color w:val="auto"/>
        </w:rPr>
      </w:pPr>
    </w:p>
    <w:p>
      <w:pPr>
        <w:ind w:left="420" w:right="4199" w:hanging="412"/>
        <w:spacing w:after="0" w:line="235"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3"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483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2.0%</w:t>
      </w:r>
    </w:p>
    <w:p>
      <w:pPr>
        <w:spacing w:after="0" w:line="11"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OO</w:t>
      </w:r>
    </w:p>
    <w:p>
      <w:pPr>
        <w:sectPr>
          <w:pgSz w:w="11900" w:h="16838" w:orient="portrait"/>
          <w:cols w:equalWidth="0" w:num="1">
            <w:col w:w="10219"/>
          </w:cols>
          <w:pgMar w:left="240" w:top="514" w:right="1440" w:bottom="1440" w:gutter="0" w:footer="0" w:header="0"/>
        </w:sectPr>
      </w:pPr>
    </w:p>
    <w:bookmarkStart w:id="3" w:name="page4"/>
    <w:bookmarkEnd w:id="3"/>
    <w:p>
      <w:pPr>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9 pages</w:t>
      </w:r>
    </w:p>
    <w:p>
      <w:pPr>
        <w:spacing w:after="0" w:line="201" w:lineRule="exact"/>
        <w:rPr>
          <w:sz w:val="20"/>
          <w:szCs w:val="20"/>
          <w:color w:val="auto"/>
        </w:rPr>
      </w:pPr>
    </w:p>
    <w:p>
      <w:pPr>
        <w:ind w:left="320" w:hanging="312"/>
        <w:spacing w:after="0"/>
        <w:tabs>
          <w:tab w:leader="none" w:pos="3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Forstmann-Leff International, LLC</w:t>
      </w:r>
    </w:p>
    <w:p>
      <w:pPr>
        <w:ind w:left="320"/>
        <w:spacing w:after="0" w:line="238" w:lineRule="auto"/>
        <w:rPr>
          <w:sz w:val="20"/>
          <w:szCs w:val="20"/>
          <w:color w:val="auto"/>
        </w:rPr>
      </w:pPr>
      <w:r>
        <w:rPr>
          <w:rFonts w:ascii="Courier New" w:cs="Courier New" w:eastAsia="Courier New" w:hAnsi="Courier New"/>
          <w:sz w:val="18"/>
          <w:szCs w:val="18"/>
          <w:color w:val="auto"/>
        </w:rPr>
        <w:t>52-2169041</w:t>
      </w:r>
    </w:p>
    <w:p>
      <w:pPr>
        <w:spacing w:after="0" w:line="202" w:lineRule="exact"/>
        <w:rPr>
          <w:sz w:val="20"/>
          <w:szCs w:val="20"/>
          <w:color w:val="auto"/>
        </w:rPr>
      </w:pPr>
    </w:p>
    <w:p>
      <w:pPr>
        <w:ind w:left="320" w:hanging="312"/>
        <w:spacing w:after="0"/>
        <w:tabs>
          <w:tab w:leader="none" w:pos="32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80" w:hanging="416"/>
        <w:spacing w:after="0" w:line="238" w:lineRule="auto"/>
        <w:tabs>
          <w:tab w:leader="none" w:pos="5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80" w:hanging="416"/>
        <w:spacing w:after="0"/>
        <w:tabs>
          <w:tab w:leader="none" w:pos="54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7" w:lineRule="exact"/>
        <w:rPr>
          <w:sz w:val="20"/>
          <w:szCs w:val="20"/>
          <w:color w:val="auto"/>
        </w:rPr>
      </w:pPr>
    </w:p>
    <w:p>
      <w:pPr>
        <w:ind w:left="320" w:right="6099" w:hanging="312"/>
        <w:spacing w:after="0" w:line="470" w:lineRule="auto"/>
        <w:tabs>
          <w:tab w:leader="none" w:pos="32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63,200 shares</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63,200 shares</w:t>
            </w:r>
          </w:p>
        </w:tc>
      </w:tr>
    </w:tbl>
    <w:p>
      <w:pPr>
        <w:spacing w:after="0" w:line="207" w:lineRule="exact"/>
        <w:rPr>
          <w:sz w:val="20"/>
          <w:szCs w:val="20"/>
          <w:color w:val="auto"/>
        </w:rPr>
      </w:pPr>
    </w:p>
    <w:p>
      <w:pPr>
        <w:ind w:left="420" w:right="3479" w:hanging="412"/>
        <w:spacing w:after="0" w:line="470" w:lineRule="auto"/>
        <w:tabs>
          <w:tab w:leader="none" w:pos="42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63,200 shares</w:t>
      </w:r>
    </w:p>
    <w:p>
      <w:pPr>
        <w:spacing w:after="0" w:line="12" w:lineRule="exact"/>
        <w:rPr>
          <w:sz w:val="20"/>
          <w:szCs w:val="20"/>
          <w:color w:val="auto"/>
        </w:rPr>
      </w:pPr>
    </w:p>
    <w:p>
      <w:pPr>
        <w:ind w:left="420" w:right="4199" w:hanging="412"/>
        <w:spacing w:after="0" w:line="235" w:lineRule="auto"/>
        <w:tabs>
          <w:tab w:leader="none" w:pos="4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8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p>
    <w:p>
      <w:pPr>
        <w:spacing w:after="0" w:line="206"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OO</w:t>
      </w:r>
    </w:p>
    <w:p>
      <w:pPr>
        <w:sectPr>
          <w:pgSz w:w="11900" w:h="16838" w:orient="portrait"/>
          <w:cols w:equalWidth="0" w:num="1">
            <w:col w:w="10219"/>
          </w:cols>
          <w:pgMar w:left="240" w:top="514" w:right="1440" w:bottom="1440" w:gutter="0" w:footer="0" w:header="0"/>
        </w:sectPr>
      </w:pPr>
    </w:p>
    <w:bookmarkStart w:id="4" w:name="page5"/>
    <w:bookmarkEnd w:id="4"/>
    <w:p>
      <w:pPr>
        <w:spacing w:after="0"/>
        <w:tabs>
          <w:tab w:leader="none" w:pos="3780" w:val="left"/>
          <w:tab w:leader="none" w:pos="6620" w:val="left"/>
        </w:tabs>
        <w:rPr>
          <w:sz w:val="20"/>
          <w:szCs w:val="20"/>
          <w:color w:val="auto"/>
        </w:rPr>
      </w:pPr>
      <w:r>
        <w:rPr>
          <w:rFonts w:ascii="Courier New" w:cs="Courier New" w:eastAsia="Courier New" w:hAnsi="Courier New"/>
          <w:sz w:val="18"/>
          <w:szCs w:val="18"/>
          <w:color w:val="auto"/>
        </w:rPr>
        <w:t>CUSIP NO. 097383103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9 pages</w:t>
      </w:r>
    </w:p>
    <w:p>
      <w:pPr>
        <w:spacing w:after="0" w:line="201" w:lineRule="exact"/>
        <w:rPr>
          <w:sz w:val="20"/>
          <w:szCs w:val="20"/>
          <w:color w:val="auto"/>
        </w:rPr>
      </w:pPr>
    </w:p>
    <w:p>
      <w:pPr>
        <w:ind w:left="320" w:hanging="312"/>
        <w:spacing w:after="0"/>
        <w:tabs>
          <w:tab w:leader="none" w:pos="3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FLA Advisers L.L.C.</w:t>
      </w:r>
    </w:p>
    <w:p>
      <w:pPr>
        <w:ind w:left="320"/>
        <w:spacing w:after="0" w:line="238" w:lineRule="auto"/>
        <w:rPr>
          <w:sz w:val="20"/>
          <w:szCs w:val="20"/>
          <w:color w:val="auto"/>
        </w:rPr>
      </w:pPr>
      <w:r>
        <w:rPr>
          <w:rFonts w:ascii="Courier New" w:cs="Courier New" w:eastAsia="Courier New" w:hAnsi="Courier New"/>
          <w:sz w:val="18"/>
          <w:szCs w:val="18"/>
          <w:color w:val="auto"/>
        </w:rPr>
        <w:t>13-3942422</w:t>
      </w:r>
    </w:p>
    <w:p>
      <w:pPr>
        <w:spacing w:after="0" w:line="202" w:lineRule="exact"/>
        <w:rPr>
          <w:sz w:val="20"/>
          <w:szCs w:val="20"/>
          <w:color w:val="auto"/>
        </w:rPr>
      </w:pPr>
    </w:p>
    <w:p>
      <w:pPr>
        <w:ind w:left="320" w:hanging="312"/>
        <w:spacing w:after="0"/>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480" w:hanging="416"/>
        <w:spacing w:after="0" w:line="238" w:lineRule="auto"/>
        <w:tabs>
          <w:tab w:leader="none" w:pos="54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5480" w:hanging="416"/>
        <w:spacing w:after="0"/>
        <w:tabs>
          <w:tab w:leader="none" w:pos="54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  SEC USE ONLY</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  CITIZENSHIP OR PLACE OF ORGANIZATION</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580" w:type="dxa"/>
            <w:vAlign w:val="bottom"/>
          </w:tcPr>
          <w:p>
            <w:pPr>
              <w:ind w:left="100"/>
              <w:spacing w:after="0"/>
              <w:rPr>
                <w:sz w:val="20"/>
                <w:szCs w:val="20"/>
                <w:color w:val="auto"/>
              </w:rPr>
            </w:pPr>
            <w:r>
              <w:rPr>
                <w:rFonts w:ascii="Courier New" w:cs="Courier New" w:eastAsia="Courier New" w:hAnsi="Courier New"/>
                <w:sz w:val="18"/>
                <w:szCs w:val="18"/>
                <w:color w:val="auto"/>
              </w:rPr>
              <w:t>New York</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405"/>
        </w:trPr>
        <w:tc>
          <w:tcPr>
            <w:tcW w:w="1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REPORTING</w:t>
            </w:r>
          </w:p>
        </w:tc>
        <w:tc>
          <w:tcPr>
            <w:tcW w:w="520" w:type="dxa"/>
            <w:vAlign w:val="bottom"/>
          </w:tcPr>
          <w:p>
            <w:pPr>
              <w:spacing w:after="0"/>
              <w:rPr>
                <w:sz w:val="17"/>
                <w:szCs w:val="17"/>
                <w:color w:val="auto"/>
              </w:rPr>
            </w:pP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11,100 shares</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WITH</w:t>
            </w:r>
          </w:p>
        </w:tc>
        <w:tc>
          <w:tcPr>
            <w:tcW w:w="52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None</w:t>
            </w:r>
          </w:p>
        </w:tc>
      </w:tr>
      <w:tr>
        <w:trPr>
          <w:trHeight w:val="405"/>
        </w:trPr>
        <w:tc>
          <w:tcPr>
            <w:tcW w:w="158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DISPOSITIVE POWER</w:t>
            </w:r>
          </w:p>
        </w:tc>
      </w:tr>
      <w:tr>
        <w:trPr>
          <w:trHeight w:val="405"/>
        </w:trPr>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Courier New" w:cs="Courier New" w:eastAsia="Courier New" w:hAnsi="Courier New"/>
                <w:sz w:val="18"/>
                <w:szCs w:val="18"/>
                <w:color w:val="auto"/>
              </w:rPr>
              <w:t>11,100 shares</w:t>
            </w:r>
          </w:p>
        </w:tc>
      </w:tr>
    </w:tbl>
    <w:p>
      <w:pPr>
        <w:spacing w:after="0" w:line="207" w:lineRule="exact"/>
        <w:rPr>
          <w:sz w:val="20"/>
          <w:szCs w:val="20"/>
          <w:color w:val="auto"/>
        </w:rPr>
      </w:pPr>
    </w:p>
    <w:p>
      <w:pPr>
        <w:ind w:left="960" w:right="3479" w:hanging="952"/>
        <w:spacing w:after="0" w:line="470" w:lineRule="auto"/>
        <w:tabs>
          <w:tab w:leader="none" w:pos="43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11,100 shares</w:t>
      </w:r>
    </w:p>
    <w:p>
      <w:pPr>
        <w:spacing w:after="0" w:line="12" w:lineRule="exact"/>
        <w:rPr>
          <w:sz w:val="20"/>
          <w:szCs w:val="20"/>
          <w:color w:val="auto"/>
        </w:rPr>
      </w:pPr>
    </w:p>
    <w:p>
      <w:pPr>
        <w:ind w:left="420" w:right="4199" w:hanging="412"/>
        <w:spacing w:after="0" w:line="235" w:lineRule="auto"/>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ind w:left="548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412"/>
        <w:spacing w:after="0"/>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rFonts w:ascii="Courier New" w:cs="Courier New" w:eastAsia="Courier New" w:hAnsi="Courier New"/>
          <w:sz w:val="18"/>
          <w:szCs w:val="18"/>
          <w:color w:val="auto"/>
        </w:rPr>
      </w:pPr>
    </w:p>
    <w:p>
      <w:pPr>
        <w:ind w:left="4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.02%</w:t>
      </w:r>
    </w:p>
    <w:p>
      <w:pPr>
        <w:spacing w:after="0" w:line="206" w:lineRule="exact"/>
        <w:rPr>
          <w:rFonts w:ascii="Courier New" w:cs="Courier New" w:eastAsia="Courier New" w:hAnsi="Courier New"/>
          <w:sz w:val="18"/>
          <w:szCs w:val="18"/>
          <w:color w:val="auto"/>
        </w:rPr>
      </w:pPr>
    </w:p>
    <w:p>
      <w:pPr>
        <w:ind w:left="420" w:right="7259" w:hanging="412"/>
        <w:spacing w:after="0" w:line="470"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OO</w:t>
      </w:r>
    </w:p>
    <w:p>
      <w:pPr>
        <w:sectPr>
          <w:pgSz w:w="11900" w:h="16838" w:orient="portrait"/>
          <w:cols w:equalWidth="0" w:num="1">
            <w:col w:w="10219"/>
          </w:cols>
          <w:pgMar w:left="240" w:top="514" w:right="1440" w:bottom="1440" w:gutter="0" w:footer="0" w:header="0"/>
        </w:sectPr>
      </w:pPr>
    </w:p>
    <w:bookmarkStart w:id="5" w:name="page6"/>
    <w:bookmarkEnd w:id="5"/>
    <w:p>
      <w:pPr>
        <w:jc w:val="right"/>
        <w:ind w:right="1779"/>
        <w:spacing w:after="0"/>
        <w:rPr>
          <w:sz w:val="20"/>
          <w:szCs w:val="20"/>
          <w:color w:val="auto"/>
        </w:rPr>
      </w:pPr>
      <w:r>
        <w:rPr>
          <w:rFonts w:ascii="Courier New" w:cs="Courier New" w:eastAsia="Courier New" w:hAnsi="Courier New"/>
          <w:sz w:val="18"/>
          <w:szCs w:val="18"/>
          <w:color w:val="auto"/>
        </w:rPr>
        <w:t>Page 6 of 9 pages</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Boise Cascade Corporation</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1111 West Jefferson Street</w:t>
      </w:r>
    </w:p>
    <w:p>
      <w:pPr>
        <w:ind w:left="960"/>
        <w:spacing w:after="0" w:line="238" w:lineRule="auto"/>
        <w:rPr>
          <w:sz w:val="20"/>
          <w:szCs w:val="20"/>
          <w:color w:val="auto"/>
        </w:rPr>
      </w:pPr>
      <w:r>
        <w:rPr>
          <w:rFonts w:ascii="Courier New" w:cs="Courier New" w:eastAsia="Courier New" w:hAnsi="Courier New"/>
          <w:sz w:val="18"/>
          <w:szCs w:val="18"/>
          <w:color w:val="auto"/>
        </w:rPr>
        <w:t>P.O. Box 50</w:t>
      </w:r>
    </w:p>
    <w:p>
      <w:pPr>
        <w:ind w:left="960"/>
        <w:spacing w:after="0"/>
        <w:rPr>
          <w:sz w:val="20"/>
          <w:szCs w:val="20"/>
          <w:color w:val="auto"/>
        </w:rPr>
      </w:pPr>
      <w:r>
        <w:rPr>
          <w:rFonts w:ascii="Courier New" w:cs="Courier New" w:eastAsia="Courier New" w:hAnsi="Courier New"/>
          <w:sz w:val="18"/>
          <w:szCs w:val="18"/>
          <w:color w:val="auto"/>
        </w:rPr>
        <w:t>Boise, Idaho 83728-0001</w:t>
      </w:r>
    </w:p>
    <w:p>
      <w:pPr>
        <w:spacing w:after="0" w:line="20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1 of the cover pages attached hereto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 or if none, residence: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840" w:type="dxa"/>
            <w:vAlign w:val="bottom"/>
          </w:tcPr>
          <w:p>
            <w:pPr>
              <w:ind w:left="480"/>
              <w:spacing w:after="0"/>
              <w:rPr>
                <w:sz w:val="20"/>
                <w:szCs w:val="20"/>
                <w:color w:val="auto"/>
              </w:rPr>
            </w:pPr>
            <w:r>
              <w:rPr>
                <w:rFonts w:ascii="Courier New" w:cs="Courier New" w:eastAsia="Courier New" w:hAnsi="Courier New"/>
                <w:sz w:val="18"/>
                <w:szCs w:val="18"/>
                <w:color w:val="auto"/>
              </w:rPr>
              <w:t>590</w:t>
            </w:r>
          </w:p>
        </w:tc>
        <w:tc>
          <w:tcPr>
            <w:tcW w:w="1640" w:type="dxa"/>
            <w:vAlign w:val="bottom"/>
          </w:tcPr>
          <w:p>
            <w:pPr>
              <w:ind w:left="60"/>
              <w:spacing w:after="0"/>
              <w:rPr>
                <w:sz w:val="20"/>
                <w:szCs w:val="20"/>
                <w:color w:val="auto"/>
              </w:rPr>
            </w:pPr>
            <w:r>
              <w:rPr>
                <w:rFonts w:ascii="Courier New" w:cs="Courier New" w:eastAsia="Courier New" w:hAnsi="Courier New"/>
                <w:sz w:val="18"/>
                <w:szCs w:val="18"/>
                <w:color w:val="auto"/>
              </w:rPr>
              <w:t>Madison Avenue</w:t>
            </w:r>
          </w:p>
        </w:tc>
        <w:tc>
          <w:tcPr>
            <w:tcW w:w="27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48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New York, New York</w:t>
            </w:r>
          </w:p>
        </w:tc>
        <w:tc>
          <w:tcPr>
            <w:tcW w:w="2740" w:type="dxa"/>
            <w:vAlign w:val="bottom"/>
          </w:tcPr>
          <w:p>
            <w:pPr>
              <w:jc w:val="right"/>
              <w:ind w:right="2032"/>
              <w:spacing w:after="0" w:line="203" w:lineRule="exact"/>
              <w:rPr>
                <w:sz w:val="20"/>
                <w:szCs w:val="20"/>
                <w:color w:val="auto"/>
              </w:rPr>
            </w:pPr>
            <w:r>
              <w:rPr>
                <w:rFonts w:ascii="Courier New" w:cs="Courier New" w:eastAsia="Courier New" w:hAnsi="Courier New"/>
                <w:sz w:val="18"/>
                <w:szCs w:val="18"/>
                <w:color w:val="auto"/>
              </w:rPr>
              <w:t>10022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2(c)</w:t>
            </w:r>
          </w:p>
        </w:tc>
        <w:tc>
          <w:tcPr>
            <w:tcW w:w="43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CITIZENSHIP:</w:t>
            </w:r>
          </w:p>
        </w:tc>
      </w:tr>
      <w:tr>
        <w:trPr>
          <w:trHeight w:val="405"/>
        </w:trPr>
        <w:tc>
          <w:tcPr>
            <w:tcW w:w="480" w:type="dxa"/>
            <w:vAlign w:val="bottom"/>
          </w:tcPr>
          <w:p>
            <w:pPr>
              <w:spacing w:after="0"/>
              <w:rPr>
                <w:sz w:val="24"/>
                <w:szCs w:val="24"/>
                <w:color w:val="auto"/>
              </w:rPr>
            </w:pPr>
          </w:p>
        </w:tc>
        <w:tc>
          <w:tcPr>
            <w:tcW w:w="5220" w:type="dxa"/>
            <w:vAlign w:val="bottom"/>
            <w:gridSpan w:val="3"/>
          </w:tcPr>
          <w:p>
            <w:pPr>
              <w:ind w:left="480"/>
              <w:spacing w:after="0"/>
              <w:rPr>
                <w:sz w:val="20"/>
                <w:szCs w:val="20"/>
                <w:color w:val="auto"/>
              </w:rPr>
            </w:pPr>
            <w:r>
              <w:rPr>
                <w:rFonts w:ascii="Courier New" w:cs="Courier New" w:eastAsia="Courier New" w:hAnsi="Courier New"/>
                <w:sz w:val="18"/>
                <w:szCs w:val="18"/>
                <w:color w:val="auto"/>
                <w:w w:val="97"/>
              </w:rPr>
              <w:t>See Item 4 of the cover pages attached hereto</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2(d)</w:t>
            </w:r>
          </w:p>
        </w:tc>
        <w:tc>
          <w:tcPr>
            <w:tcW w:w="438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TITLE OF CLASS OF SECURITIES:</w:t>
            </w:r>
          </w:p>
        </w:tc>
      </w:tr>
    </w:tbl>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Common Stock, par value $2.50</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097383103</w:t>
      </w:r>
    </w:p>
    <w:p>
      <w:pPr>
        <w:spacing w:after="0" w:line="207" w:lineRule="exact"/>
        <w:rPr>
          <w:sz w:val="20"/>
          <w:szCs w:val="20"/>
          <w:color w:val="auto"/>
        </w:rPr>
      </w:pPr>
    </w:p>
    <w:p>
      <w:pPr>
        <w:jc w:val="both"/>
        <w:ind w:left="1580" w:right="1779" w:hanging="1579"/>
        <w:spacing w:after="0" w:line="238" w:lineRule="auto"/>
        <w:tabs>
          <w:tab w:leader="none" w:pos="15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Forstmann-Leff Associates, LLC, a Delaware limited liability company, is a registered investment adviser under Section 203 of the Investment Advisers Act of 1940 (the "Act"). FLA Asset Management, LLC, a Delaware limited liability company, is a registered investment adviser under the Act and a subsidiary of Forstmann-Leff Associates, LLC. FLA Advisers L.L.C., a New York limited liability company, is a registered investment adviser under the Act. Forstmann-Leff International, LLC, a Delaware limited liability company, is a registered investment adviser under the Act. The members of Forstmann-Leff Associates, LLC's Investment Committee are the members of Forstmann-Leff International, LLC's Investment Committee and the managers of FLA Advisers L.L.C.</w:t>
      </w:r>
    </w:p>
    <w:p>
      <w:pPr>
        <w:sectPr>
          <w:pgSz w:w="11900" w:h="16838" w:orient="portrait"/>
          <w:cols w:equalWidth="0" w:num="1">
            <w:col w:w="10219"/>
          </w:cols>
          <w:pgMar w:left="240" w:top="514"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Page 7 of 9 pages</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hanging="944"/>
        <w:spacing w:after="0"/>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9 of the cover pages attached hereto</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11 of the cover pages attached hereto</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2860" w:hanging="956"/>
        <w:spacing w:after="0" w:line="238" w:lineRule="auto"/>
        <w:tabs>
          <w:tab w:leader="none" w:pos="2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direct the vote</w:t>
      </w:r>
    </w:p>
    <w:p>
      <w:pPr>
        <w:ind w:left="2860" w:hanging="956"/>
        <w:spacing w:after="0" w:line="238" w:lineRule="auto"/>
        <w:tabs>
          <w:tab w:leader="none" w:pos="2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w:t>
      </w:r>
    </w:p>
    <w:p>
      <w:pPr>
        <w:spacing w:after="0" w:line="4" w:lineRule="exact"/>
        <w:rPr>
          <w:rFonts w:ascii="Courier New" w:cs="Courier New" w:eastAsia="Courier New" w:hAnsi="Courier New"/>
          <w:sz w:val="18"/>
          <w:szCs w:val="18"/>
          <w:color w:val="auto"/>
        </w:rPr>
      </w:pPr>
    </w:p>
    <w:p>
      <w:pPr>
        <w:ind w:left="2860" w:right="2099" w:hanging="956"/>
        <w:spacing w:after="0" w:line="235" w:lineRule="auto"/>
        <w:tabs>
          <w:tab w:leader="none" w:pos="2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5" w:lineRule="exact"/>
        <w:rPr>
          <w:rFonts w:ascii="Courier New" w:cs="Courier New" w:eastAsia="Courier New" w:hAnsi="Courier New"/>
          <w:sz w:val="18"/>
          <w:szCs w:val="18"/>
          <w:color w:val="auto"/>
        </w:rPr>
      </w:pPr>
    </w:p>
    <w:p>
      <w:pPr>
        <w:ind w:left="2860" w:right="1879" w:hanging="956"/>
        <w:spacing w:after="0" w:line="235" w:lineRule="auto"/>
        <w:tabs>
          <w:tab w:leader="none" w:pos="286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0" w:type="dxa"/>
            <w:vAlign w:val="bottom"/>
          </w:tcPr>
          <w:p>
            <w:pPr>
              <w:spacing w:after="0"/>
              <w:rPr>
                <w:sz w:val="17"/>
                <w:szCs w:val="17"/>
                <w:color w:val="auto"/>
              </w:rPr>
            </w:pPr>
          </w:p>
        </w:tc>
        <w:tc>
          <w:tcPr>
            <w:tcW w:w="6620" w:type="dxa"/>
            <w:vAlign w:val="bottom"/>
          </w:tcPr>
          <w:p>
            <w:pPr>
              <w:ind w:left="1040"/>
              <w:spacing w:after="0"/>
              <w:rPr>
                <w:sz w:val="20"/>
                <w:szCs w:val="20"/>
                <w:color w:val="auto"/>
              </w:rPr>
            </w:pPr>
            <w:r>
              <w:rPr>
                <w:rFonts w:ascii="Courier New" w:cs="Courier New" w:eastAsia="Courier New" w:hAnsi="Courier New"/>
                <w:sz w:val="18"/>
                <w:szCs w:val="18"/>
                <w:color w:val="auto"/>
              </w:rPr>
              <w:t>See Items 5 through 8 of the cover pages attached</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hereto</w:t>
            </w: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6620" w:type="dxa"/>
            <w:vAlign w:val="bottom"/>
          </w:tcPr>
          <w:p>
            <w:pPr>
              <w:ind w:left="1040"/>
              <w:spacing w:after="0"/>
              <w:rPr>
                <w:sz w:val="20"/>
                <w:szCs w:val="20"/>
                <w:color w:val="auto"/>
              </w:rPr>
            </w:pPr>
            <w:r>
              <w:rPr>
                <w:rFonts w:ascii="Courier New" w:cs="Courier New" w:eastAsia="Courier New" w:hAnsi="Courier New"/>
                <w:sz w:val="18"/>
                <w:szCs w:val="18"/>
                <w:color w:val="auto"/>
              </w:rPr>
              <w:t>OWNERSHIP OF FIVE PERCENT OR LESS OF A CLASS:</w:t>
            </w:r>
          </w:p>
        </w:tc>
        <w:tc>
          <w:tcPr>
            <w:tcW w:w="96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580" w:type="dxa"/>
            <w:vAlign w:val="bottom"/>
            <w:gridSpan w:val="2"/>
          </w:tcPr>
          <w:p>
            <w:pPr>
              <w:ind w:left="1040"/>
              <w:spacing w:after="0"/>
              <w:rPr>
                <w:sz w:val="20"/>
                <w:szCs w:val="20"/>
                <w:color w:val="auto"/>
              </w:rPr>
            </w:pPr>
            <w:r>
              <w:rPr>
                <w:rFonts w:ascii="Courier New" w:cs="Courier New" w:eastAsia="Courier New" w:hAnsi="Courier New"/>
                <w:sz w:val="18"/>
                <w:szCs w:val="18"/>
                <w:color w:val="auto"/>
                <w:w w:val="97"/>
              </w:rPr>
              <w:t>This statement is being filed to report that as of October 31,</w:t>
            </w:r>
          </w:p>
        </w:tc>
      </w:tr>
      <w:tr>
        <w:trPr>
          <w:trHeight w:val="203"/>
        </w:trPr>
        <w:tc>
          <w:tcPr>
            <w:tcW w:w="860" w:type="dxa"/>
            <w:vAlign w:val="bottom"/>
          </w:tcPr>
          <w:p>
            <w:pPr>
              <w:spacing w:after="0"/>
              <w:rPr>
                <w:sz w:val="17"/>
                <w:szCs w:val="17"/>
                <w:color w:val="auto"/>
              </w:rPr>
            </w:pPr>
          </w:p>
        </w:tc>
        <w:tc>
          <w:tcPr>
            <w:tcW w:w="75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2001, the reporting persons ceased to be a beneficial owner of more</w:t>
            </w:r>
          </w:p>
        </w:tc>
      </w:tr>
      <w:tr>
        <w:trPr>
          <w:trHeight w:val="203"/>
        </w:trPr>
        <w:tc>
          <w:tcPr>
            <w:tcW w:w="860" w:type="dxa"/>
            <w:vAlign w:val="bottom"/>
          </w:tcPr>
          <w:p>
            <w:pPr>
              <w:spacing w:after="0"/>
              <w:rPr>
                <w:sz w:val="17"/>
                <w:szCs w:val="17"/>
                <w:color w:val="auto"/>
              </w:rPr>
            </w:pPr>
          </w:p>
        </w:tc>
        <w:tc>
          <w:tcPr>
            <w:tcW w:w="66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than 5% of the Common Stock of Boise Cascade Corp.</w:t>
            </w:r>
          </w:p>
        </w:tc>
        <w:tc>
          <w:tcPr>
            <w:tcW w:w="96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580" w:type="dxa"/>
            <w:vAlign w:val="bottom"/>
            <w:gridSpan w:val="2"/>
          </w:tcPr>
          <w:p>
            <w:pPr>
              <w:ind w:left="840"/>
              <w:spacing w:after="0"/>
              <w:rPr>
                <w:sz w:val="20"/>
                <w:szCs w:val="20"/>
                <w:color w:val="auto"/>
              </w:rPr>
            </w:pPr>
            <w:r>
              <w:rPr>
                <w:rFonts w:ascii="Courier New" w:cs="Courier New" w:eastAsia="Courier New" w:hAnsi="Courier New"/>
                <w:sz w:val="18"/>
                <w:szCs w:val="18"/>
                <w:color w:val="auto"/>
                <w:w w:val="97"/>
              </w:rPr>
              <w:t>OWNERSHIP OF MORE THAN FIVE PERCENT ON BEHALF OF ANOTHER PERSON:</w:t>
            </w:r>
          </w:p>
        </w:tc>
      </w:tr>
      <w:tr>
        <w:trPr>
          <w:trHeight w:val="405"/>
        </w:trPr>
        <w:tc>
          <w:tcPr>
            <w:tcW w:w="860" w:type="dxa"/>
            <w:vAlign w:val="bottom"/>
          </w:tcPr>
          <w:p>
            <w:pPr>
              <w:spacing w:after="0"/>
              <w:rPr>
                <w:sz w:val="24"/>
                <w:szCs w:val="24"/>
                <w:color w:val="auto"/>
              </w:rPr>
            </w:pPr>
          </w:p>
        </w:tc>
        <w:tc>
          <w:tcPr>
            <w:tcW w:w="7580" w:type="dxa"/>
            <w:vAlign w:val="bottom"/>
            <w:gridSpan w:val="2"/>
          </w:tcPr>
          <w:p>
            <w:pPr>
              <w:ind w:left="1040"/>
              <w:spacing w:after="0"/>
              <w:rPr>
                <w:sz w:val="20"/>
                <w:szCs w:val="20"/>
                <w:color w:val="auto"/>
              </w:rPr>
            </w:pPr>
            <w:r>
              <w:rPr>
                <w:rFonts w:ascii="Courier New" w:cs="Courier New" w:eastAsia="Courier New" w:hAnsi="Courier New"/>
                <w:sz w:val="18"/>
                <w:szCs w:val="18"/>
                <w:color w:val="auto"/>
              </w:rPr>
              <w:t>Various clients of the reporting persons have the right to</w:t>
            </w:r>
          </w:p>
        </w:tc>
      </w:tr>
      <w:tr>
        <w:trPr>
          <w:trHeight w:val="203"/>
        </w:trPr>
        <w:tc>
          <w:tcPr>
            <w:tcW w:w="860" w:type="dxa"/>
            <w:vAlign w:val="bottom"/>
          </w:tcPr>
          <w:p>
            <w:pPr>
              <w:spacing w:after="0"/>
              <w:rPr>
                <w:sz w:val="17"/>
                <w:szCs w:val="17"/>
                <w:color w:val="auto"/>
              </w:rPr>
            </w:pPr>
          </w:p>
        </w:tc>
        <w:tc>
          <w:tcPr>
            <w:tcW w:w="758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w w:val="98"/>
              </w:rPr>
              <w:t>receive or the power to direct the receipt of dividends from,</w:t>
            </w:r>
          </w:p>
        </w:tc>
      </w:tr>
      <w:tr>
        <w:trPr>
          <w:trHeight w:val="203"/>
        </w:trPr>
        <w:tc>
          <w:tcPr>
            <w:tcW w:w="860" w:type="dxa"/>
            <w:vAlign w:val="bottom"/>
          </w:tcPr>
          <w:p>
            <w:pPr>
              <w:spacing w:after="0"/>
              <w:rPr>
                <w:sz w:val="17"/>
                <w:szCs w:val="17"/>
                <w:color w:val="auto"/>
              </w:rPr>
            </w:pPr>
          </w:p>
        </w:tc>
        <w:tc>
          <w:tcPr>
            <w:tcW w:w="758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or the proceeds from the sale of, the Common Stock of Boise</w:t>
            </w:r>
          </w:p>
        </w:tc>
      </w:tr>
      <w:tr>
        <w:trPr>
          <w:trHeight w:val="203"/>
        </w:trPr>
        <w:tc>
          <w:tcPr>
            <w:tcW w:w="860" w:type="dxa"/>
            <w:vAlign w:val="bottom"/>
          </w:tcPr>
          <w:p>
            <w:pPr>
              <w:spacing w:after="0"/>
              <w:rPr>
                <w:sz w:val="17"/>
                <w:szCs w:val="17"/>
                <w:color w:val="auto"/>
              </w:rPr>
            </w:pPr>
          </w:p>
        </w:tc>
        <w:tc>
          <w:tcPr>
            <w:tcW w:w="758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Cascade Corporation. No one client's interest in the Common</w:t>
            </w:r>
          </w:p>
        </w:tc>
      </w:tr>
      <w:tr>
        <w:trPr>
          <w:trHeight w:val="203"/>
        </w:trPr>
        <w:tc>
          <w:tcPr>
            <w:tcW w:w="860" w:type="dxa"/>
            <w:vAlign w:val="bottom"/>
          </w:tcPr>
          <w:p>
            <w:pPr>
              <w:spacing w:after="0"/>
              <w:rPr>
                <w:sz w:val="17"/>
                <w:szCs w:val="17"/>
                <w:color w:val="auto"/>
              </w:rPr>
            </w:pPr>
          </w:p>
        </w:tc>
        <w:tc>
          <w:tcPr>
            <w:tcW w:w="7580" w:type="dxa"/>
            <w:vAlign w:val="bottom"/>
            <w:gridSpan w:val="2"/>
          </w:tcPr>
          <w:p>
            <w:pPr>
              <w:ind w:left="1040"/>
              <w:spacing w:after="0" w:line="203" w:lineRule="exact"/>
              <w:rPr>
                <w:sz w:val="20"/>
                <w:szCs w:val="20"/>
                <w:color w:val="auto"/>
              </w:rPr>
            </w:pPr>
            <w:r>
              <w:rPr>
                <w:rFonts w:ascii="Courier New" w:cs="Courier New" w:eastAsia="Courier New" w:hAnsi="Courier New"/>
                <w:sz w:val="18"/>
                <w:szCs w:val="18"/>
                <w:color w:val="auto"/>
              </w:rPr>
              <w:t>Stock of Boise Cascade Corporation is more than five percent</w:t>
            </w:r>
          </w:p>
        </w:tc>
      </w:tr>
      <w:tr>
        <w:trPr>
          <w:trHeight w:val="203"/>
        </w:trPr>
        <w:tc>
          <w:tcPr>
            <w:tcW w:w="860" w:type="dxa"/>
            <w:vAlign w:val="bottom"/>
          </w:tcPr>
          <w:p>
            <w:pPr>
              <w:spacing w:after="0"/>
              <w:rPr>
                <w:sz w:val="17"/>
                <w:szCs w:val="17"/>
                <w:color w:val="auto"/>
              </w:rPr>
            </w:pPr>
          </w:p>
        </w:tc>
        <w:tc>
          <w:tcPr>
            <w:tcW w:w="662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of the total outstanding Common Stock.</w:t>
            </w:r>
          </w:p>
        </w:tc>
        <w:tc>
          <w:tcPr>
            <w:tcW w:w="960" w:type="dxa"/>
            <w:vAlign w:val="bottom"/>
          </w:tcPr>
          <w:p>
            <w:pPr>
              <w:spacing w:after="0"/>
              <w:rPr>
                <w:sz w:val="17"/>
                <w:szCs w:val="17"/>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7580" w:type="dxa"/>
            <w:vAlign w:val="bottom"/>
            <w:gridSpan w:val="2"/>
          </w:tcPr>
          <w:p>
            <w:pPr>
              <w:ind w:left="1040"/>
              <w:spacing w:after="0"/>
              <w:rPr>
                <w:sz w:val="20"/>
                <w:szCs w:val="20"/>
                <w:color w:val="auto"/>
              </w:rPr>
            </w:pPr>
            <w:r>
              <w:rPr>
                <w:rFonts w:ascii="Courier New" w:cs="Courier New" w:eastAsia="Courier New" w:hAnsi="Courier New"/>
                <w:sz w:val="18"/>
                <w:szCs w:val="18"/>
                <w:color w:val="auto"/>
                <w:w w:val="97"/>
              </w:rPr>
              <w:t>IDENTIFICATION  AND  CLASSIFICATION  OF THE  SUBSIDIARY  WHICH</w:t>
            </w:r>
          </w:p>
        </w:tc>
      </w:tr>
      <w:tr>
        <w:trPr>
          <w:trHeight w:val="203"/>
        </w:trPr>
        <w:tc>
          <w:tcPr>
            <w:tcW w:w="860" w:type="dxa"/>
            <w:vAlign w:val="bottom"/>
          </w:tcPr>
          <w:p>
            <w:pPr>
              <w:spacing w:after="0"/>
              <w:rPr>
                <w:sz w:val="17"/>
                <w:szCs w:val="17"/>
                <w:color w:val="auto"/>
              </w:rPr>
            </w:pPr>
          </w:p>
        </w:tc>
        <w:tc>
          <w:tcPr>
            <w:tcW w:w="662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w w:val="97"/>
              </w:rPr>
              <w:t>ACQUIRED THE SECURITY BEING REPORTED ON BY THE PARENT</w:t>
            </w:r>
          </w:p>
        </w:tc>
        <w:tc>
          <w:tcPr>
            <w:tcW w:w="960" w:type="dxa"/>
            <w:vAlign w:val="bottom"/>
          </w:tcPr>
          <w:p>
            <w:pPr>
              <w:spacing w:after="0"/>
              <w:rPr>
                <w:sz w:val="17"/>
                <w:szCs w:val="17"/>
                <w:color w:val="auto"/>
              </w:rPr>
            </w:pPr>
          </w:p>
        </w:tc>
      </w:tr>
      <w:tr>
        <w:trPr>
          <w:trHeight w:val="203"/>
        </w:trPr>
        <w:tc>
          <w:tcPr>
            <w:tcW w:w="860" w:type="dxa"/>
            <w:vAlign w:val="bottom"/>
          </w:tcPr>
          <w:p>
            <w:pPr>
              <w:spacing w:after="0"/>
              <w:rPr>
                <w:sz w:val="17"/>
                <w:szCs w:val="17"/>
                <w:color w:val="auto"/>
              </w:rPr>
            </w:pPr>
          </w:p>
        </w:tc>
        <w:tc>
          <w:tcPr>
            <w:tcW w:w="6620" w:type="dxa"/>
            <w:vAlign w:val="bottom"/>
          </w:tcPr>
          <w:p>
            <w:pPr>
              <w:ind w:left="1040"/>
              <w:spacing w:after="0" w:line="203" w:lineRule="exact"/>
              <w:rPr>
                <w:sz w:val="20"/>
                <w:szCs w:val="20"/>
                <w:color w:val="auto"/>
              </w:rPr>
            </w:pPr>
            <w:r>
              <w:rPr>
                <w:rFonts w:ascii="Courier New" w:cs="Courier New" w:eastAsia="Courier New" w:hAnsi="Courier New"/>
                <w:sz w:val="18"/>
                <w:szCs w:val="18"/>
                <w:color w:val="auto"/>
              </w:rPr>
              <w:t>HOLDING COMPANY:</w:t>
            </w:r>
          </w:p>
        </w:tc>
        <w:tc>
          <w:tcPr>
            <w:tcW w:w="960" w:type="dxa"/>
            <w:vAlign w:val="bottom"/>
          </w:tcPr>
          <w:p>
            <w:pPr>
              <w:spacing w:after="0"/>
              <w:rPr>
                <w:sz w:val="17"/>
                <w:szCs w:val="17"/>
                <w:color w:val="auto"/>
              </w:rPr>
            </w:pPr>
          </w:p>
        </w:tc>
      </w:tr>
      <w:tr>
        <w:trPr>
          <w:trHeight w:val="405"/>
        </w:trPr>
        <w:tc>
          <w:tcPr>
            <w:tcW w:w="860" w:type="dxa"/>
            <w:vAlign w:val="bottom"/>
          </w:tcPr>
          <w:p>
            <w:pPr>
              <w:spacing w:after="0"/>
              <w:rPr>
                <w:sz w:val="24"/>
                <w:szCs w:val="24"/>
                <w:color w:val="auto"/>
              </w:rPr>
            </w:pPr>
          </w:p>
        </w:tc>
        <w:tc>
          <w:tcPr>
            <w:tcW w:w="6620" w:type="dxa"/>
            <w:vAlign w:val="bottom"/>
          </w:tcPr>
          <w:p>
            <w:pPr>
              <w:ind w:left="1040"/>
              <w:spacing w:after="0"/>
              <w:rPr>
                <w:sz w:val="20"/>
                <w:szCs w:val="20"/>
                <w:color w:val="auto"/>
              </w:rPr>
            </w:pPr>
            <w:r>
              <w:rPr>
                <w:rFonts w:ascii="Courier New" w:cs="Courier New" w:eastAsia="Courier New" w:hAnsi="Courier New"/>
                <w:sz w:val="18"/>
                <w:szCs w:val="18"/>
                <w:color w:val="auto"/>
              </w:rPr>
              <w:t>Not Applicable</w:t>
            </w:r>
          </w:p>
        </w:tc>
        <w:tc>
          <w:tcPr>
            <w:tcW w:w="9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7580" w:type="dxa"/>
            <w:vAlign w:val="bottom"/>
            <w:gridSpan w:val="2"/>
          </w:tcPr>
          <w:p>
            <w:pPr>
              <w:ind w:left="104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405"/>
        </w:trPr>
        <w:tc>
          <w:tcPr>
            <w:tcW w:w="860" w:type="dxa"/>
            <w:vAlign w:val="bottom"/>
          </w:tcPr>
          <w:p>
            <w:pPr>
              <w:spacing w:after="0"/>
              <w:rPr>
                <w:sz w:val="24"/>
                <w:szCs w:val="24"/>
                <w:color w:val="auto"/>
              </w:rPr>
            </w:pPr>
          </w:p>
        </w:tc>
        <w:tc>
          <w:tcPr>
            <w:tcW w:w="6620" w:type="dxa"/>
            <w:vAlign w:val="bottom"/>
          </w:tcPr>
          <w:p>
            <w:pPr>
              <w:ind w:left="1040"/>
              <w:spacing w:after="0"/>
              <w:rPr>
                <w:sz w:val="20"/>
                <w:szCs w:val="20"/>
                <w:color w:val="auto"/>
              </w:rPr>
            </w:pPr>
            <w:r>
              <w:rPr>
                <w:rFonts w:ascii="Courier New" w:cs="Courier New" w:eastAsia="Courier New" w:hAnsi="Courier New"/>
                <w:sz w:val="18"/>
                <w:szCs w:val="18"/>
                <w:color w:val="auto"/>
              </w:rPr>
              <w:t>Not Applicable</w:t>
            </w:r>
          </w:p>
        </w:tc>
        <w:tc>
          <w:tcPr>
            <w:tcW w:w="9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6620" w:type="dxa"/>
            <w:vAlign w:val="bottom"/>
          </w:tcPr>
          <w:p>
            <w:pPr>
              <w:ind w:left="1040"/>
              <w:spacing w:after="0"/>
              <w:rPr>
                <w:sz w:val="20"/>
                <w:szCs w:val="20"/>
                <w:color w:val="auto"/>
              </w:rPr>
            </w:pPr>
            <w:r>
              <w:rPr>
                <w:rFonts w:ascii="Courier New" w:cs="Courier New" w:eastAsia="Courier New" w:hAnsi="Courier New"/>
                <w:sz w:val="18"/>
                <w:szCs w:val="18"/>
                <w:color w:val="auto"/>
              </w:rPr>
              <w:t>NOTICE OF DISSOLUTION OF GROUP:</w:t>
            </w:r>
          </w:p>
        </w:tc>
        <w:tc>
          <w:tcPr>
            <w:tcW w:w="96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6620" w:type="dxa"/>
            <w:vAlign w:val="bottom"/>
          </w:tcPr>
          <w:p>
            <w:pPr>
              <w:ind w:left="1040"/>
              <w:spacing w:after="0"/>
              <w:rPr>
                <w:sz w:val="20"/>
                <w:szCs w:val="20"/>
                <w:color w:val="auto"/>
              </w:rPr>
            </w:pPr>
            <w:r>
              <w:rPr>
                <w:rFonts w:ascii="Courier New" w:cs="Courier New" w:eastAsia="Courier New" w:hAnsi="Courier New"/>
                <w:sz w:val="18"/>
                <w:szCs w:val="18"/>
                <w:color w:val="auto"/>
              </w:rPr>
              <w:t>Not Applicable</w:t>
            </w:r>
          </w:p>
        </w:tc>
        <w:tc>
          <w:tcPr>
            <w:tcW w:w="960" w:type="dxa"/>
            <w:vAlign w:val="bottom"/>
          </w:tcPr>
          <w:p>
            <w:pPr>
              <w:spacing w:after="0"/>
              <w:rPr>
                <w:sz w:val="24"/>
                <w:szCs w:val="24"/>
                <w:color w:val="auto"/>
              </w:rPr>
            </w:pPr>
          </w:p>
        </w:tc>
      </w:tr>
      <w:tr>
        <w:trPr>
          <w:trHeight w:val="405"/>
        </w:trPr>
        <w:tc>
          <w:tcPr>
            <w:tcW w:w="86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6620" w:type="dxa"/>
            <w:vAlign w:val="bottom"/>
          </w:tcPr>
          <w:p>
            <w:pPr>
              <w:ind w:left="1040"/>
              <w:spacing w:after="0"/>
              <w:rPr>
                <w:sz w:val="20"/>
                <w:szCs w:val="20"/>
                <w:color w:val="auto"/>
              </w:rPr>
            </w:pPr>
            <w:r>
              <w:rPr>
                <w:rFonts w:ascii="Courier New" w:cs="Courier New" w:eastAsia="Courier New" w:hAnsi="Courier New"/>
                <w:sz w:val="18"/>
                <w:szCs w:val="18"/>
                <w:color w:val="auto"/>
              </w:rPr>
              <w:t>CERTIFICATION:</w:t>
            </w:r>
          </w:p>
        </w:tc>
        <w:tc>
          <w:tcPr>
            <w:tcW w:w="960" w:type="dxa"/>
            <w:vAlign w:val="bottom"/>
          </w:tcPr>
          <w:p>
            <w:pPr>
              <w:spacing w:after="0"/>
              <w:rPr>
                <w:sz w:val="24"/>
                <w:szCs w:val="24"/>
                <w:color w:val="auto"/>
              </w:rPr>
            </w:pPr>
          </w:p>
        </w:tc>
      </w:tr>
      <w:tr>
        <w:trPr>
          <w:trHeight w:val="405"/>
        </w:trPr>
        <w:tc>
          <w:tcPr>
            <w:tcW w:w="860" w:type="dxa"/>
            <w:vAlign w:val="bottom"/>
          </w:tcPr>
          <w:p>
            <w:pPr>
              <w:spacing w:after="0"/>
              <w:rPr>
                <w:sz w:val="24"/>
                <w:szCs w:val="24"/>
                <w:color w:val="auto"/>
              </w:rPr>
            </w:pPr>
          </w:p>
        </w:tc>
        <w:tc>
          <w:tcPr>
            <w:tcW w:w="7580" w:type="dxa"/>
            <w:vAlign w:val="bottom"/>
            <w:gridSpan w:val="2"/>
          </w:tcPr>
          <w:p>
            <w:pPr>
              <w:ind w:left="1040"/>
              <w:spacing w:after="0"/>
              <w:rPr>
                <w:sz w:val="20"/>
                <w:szCs w:val="20"/>
                <w:color w:val="auto"/>
              </w:rPr>
            </w:pPr>
            <w:r>
              <w:rPr>
                <w:rFonts w:ascii="Courier New" w:cs="Courier New" w:eastAsia="Courier New" w:hAnsi="Courier New"/>
                <w:sz w:val="18"/>
                <w:szCs w:val="18"/>
                <w:color w:val="auto"/>
              </w:rPr>
              <w:t>By signing below I certify that, to the best of my knowledge</w:t>
            </w:r>
          </w:p>
        </w:tc>
      </w:tr>
    </w:tbl>
    <w:p>
      <w:pPr>
        <w:spacing w:after="0" w:line="4" w:lineRule="exact"/>
        <w:rPr>
          <w:sz w:val="20"/>
          <w:szCs w:val="20"/>
          <w:color w:val="auto"/>
        </w:rPr>
      </w:pPr>
    </w:p>
    <w:p>
      <w:pPr>
        <w:ind w:left="1900" w:right="1779"/>
        <w:spacing w:after="0" w:line="237" w:lineRule="auto"/>
        <w:rPr>
          <w:sz w:val="20"/>
          <w:szCs w:val="20"/>
          <w:color w:val="auto"/>
        </w:rPr>
      </w:pPr>
      <w:r>
        <w:rPr>
          <w:rFonts w:ascii="Courier New" w:cs="Courier New" w:eastAsia="Courier New" w:hAnsi="Courier New"/>
          <w:sz w:val="18"/>
          <w:szCs w:val="18"/>
          <w:color w:val="auto"/>
        </w:rPr>
        <w:t>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219"/>
          </w:cols>
          <w:pgMar w:left="240" w:top="514" w:right="1440" w:bottom="1440" w:gutter="0" w:footer="0" w:header="0"/>
        </w:sectPr>
      </w:pPr>
    </w:p>
    <w:bookmarkStart w:id="7" w:name="page8"/>
    <w:bookmarkEnd w:id="7"/>
    <w:p>
      <w:pPr>
        <w:jc w:val="right"/>
        <w:ind w:right="1779"/>
        <w:spacing w:after="0"/>
        <w:rPr>
          <w:sz w:val="20"/>
          <w:szCs w:val="20"/>
          <w:color w:val="auto"/>
        </w:rPr>
      </w:pPr>
      <w:r>
        <w:rPr>
          <w:rFonts w:ascii="Courier New" w:cs="Courier New" w:eastAsia="Courier New" w:hAnsi="Courier New"/>
          <w:sz w:val="18"/>
          <w:szCs w:val="18"/>
          <w:color w:val="auto"/>
        </w:rPr>
        <w:t>Page 8 of 9 pages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9, 2001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FORSTMANN-LEFF ASSOCIATES,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Joseph Sullivan</w:t>
      </w:r>
    </w:p>
    <w:p>
      <w:pPr>
        <w:ind w:left="474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FLA ASSET MANAGEMENT, LLC</w:t>
      </w:r>
    </w:p>
    <w:p>
      <w:pPr>
        <w:spacing w:after="0" w:line="200" w:lineRule="exact"/>
        <w:rPr>
          <w:sz w:val="20"/>
          <w:szCs w:val="20"/>
          <w:color w:val="auto"/>
        </w:rPr>
      </w:pPr>
    </w:p>
    <w:p>
      <w:pPr>
        <w:spacing w:after="0" w:line="204" w:lineRule="exact"/>
        <w:rPr>
          <w:sz w:val="20"/>
          <w:szCs w:val="20"/>
          <w:color w:val="auto"/>
        </w:rPr>
      </w:pPr>
    </w:p>
    <w:p>
      <w:pPr>
        <w:ind w:left="4220"/>
        <w:spacing w:after="0"/>
        <w:tabs>
          <w:tab w:leader="none" w:pos="4720" w:val="left"/>
        </w:tabs>
        <w:rPr>
          <w:sz w:val="20"/>
          <w:szCs w:val="20"/>
          <w:color w:val="auto"/>
        </w:rPr>
      </w:pPr>
      <w:r>
        <w:rPr>
          <w:rFonts w:ascii="Courier New" w:cs="Courier New" w:eastAsia="Courier New" w:hAnsi="Courier New"/>
          <w:sz w:val="18"/>
          <w:szCs w:val="18"/>
          <w:color w:val="auto"/>
        </w:rPr>
        <w:t>By:</w:t>
        <w:tab/>
        <w:t>Forstmann-Leff Associates, LLC,</w:t>
      </w:r>
    </w:p>
    <w:p>
      <w:pPr>
        <w:ind w:left="4740"/>
        <w:spacing w:after="0" w:line="238" w:lineRule="auto"/>
        <w:rPr>
          <w:sz w:val="20"/>
          <w:szCs w:val="20"/>
          <w:color w:val="auto"/>
        </w:rPr>
      </w:pPr>
      <w:r>
        <w:rPr>
          <w:rFonts w:ascii="Courier New" w:cs="Courier New" w:eastAsia="Courier New" w:hAnsi="Courier New"/>
          <w:sz w:val="18"/>
          <w:szCs w:val="18"/>
          <w:color w:val="auto"/>
        </w:rPr>
        <w:t>its Sole Member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Joseph Sullivan</w:t>
      </w:r>
    </w:p>
    <w:p>
      <w:pPr>
        <w:ind w:left="422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FLA ADVISERS L.L.C.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Joseph Sullivan</w:t>
      </w:r>
    </w:p>
    <w:p>
      <w:pPr>
        <w:ind w:left="42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FORSTMANN-LEFF INTERNATIONAL, LLC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Robert Trosten</w:t>
      </w:r>
    </w:p>
    <w:p>
      <w:pPr>
        <w:ind w:left="4220"/>
        <w:spacing w:after="0" w:line="238" w:lineRule="auto"/>
        <w:rPr>
          <w:sz w:val="20"/>
          <w:szCs w:val="20"/>
          <w:color w:val="auto"/>
        </w:rPr>
      </w:pPr>
      <w:r>
        <w:rPr>
          <w:rFonts w:ascii="Courier New" w:cs="Courier New" w:eastAsia="Courier New" w:hAnsi="Courier New"/>
          <w:sz w:val="18"/>
          <w:szCs w:val="18"/>
          <w:color w:val="auto"/>
        </w:rPr>
        <w:t>Treasurer</w:t>
      </w:r>
    </w:p>
    <w:p>
      <w:pPr>
        <w:sectPr>
          <w:pgSz w:w="11900" w:h="16838" w:orient="portrait"/>
          <w:cols w:equalWidth="0" w:num="1">
            <w:col w:w="10219"/>
          </w:cols>
          <w:pgMar w:left="240" w:top="514"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Page 9 of 9 pages</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AGREEMENT</w:t>
      </w:r>
    </w:p>
    <w:p>
      <w:pPr>
        <w:spacing w:after="0" w:line="207" w:lineRule="exact"/>
        <w:rPr>
          <w:sz w:val="20"/>
          <w:szCs w:val="20"/>
          <w:color w:val="auto"/>
        </w:rPr>
      </w:pPr>
    </w:p>
    <w:p>
      <w:pPr>
        <w:ind w:right="1879" w:firstLine="948"/>
        <w:spacing w:after="0" w:line="279" w:lineRule="auto"/>
        <w:rPr>
          <w:sz w:val="20"/>
          <w:szCs w:val="20"/>
          <w:color w:val="auto"/>
        </w:rPr>
      </w:pPr>
      <w:r>
        <w:rPr>
          <w:rFonts w:ascii="Courier New" w:cs="Courier New" w:eastAsia="Courier New" w:hAnsi="Courier New"/>
          <w:sz w:val="16"/>
          <w:szCs w:val="16"/>
          <w:color w:val="auto"/>
        </w:rPr>
        <w:t>The undersigned, Forstmann-Leff Associates, LLC, FLA Asset Management, LLC, FLA Advisers L.L.C. and Forstmann-Leff International, LLC, agree that the statement to which this exhibit is appended is filed on behalf of each of them.</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9, 2001</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FORSTMANN-LEFF ASSOCIATES, LLC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Joseph Sullivan</w:t>
      </w:r>
    </w:p>
    <w:p>
      <w:pPr>
        <w:ind w:left="422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FLA ASSET MANAGEMENT, LLC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Forstmann-Leff Associates, LLC,</w:t>
      </w:r>
    </w:p>
    <w:p>
      <w:pPr>
        <w:ind w:left="4640"/>
        <w:spacing w:after="0" w:line="238" w:lineRule="auto"/>
        <w:rPr>
          <w:sz w:val="20"/>
          <w:szCs w:val="20"/>
          <w:color w:val="auto"/>
        </w:rPr>
      </w:pPr>
      <w:r>
        <w:rPr>
          <w:rFonts w:ascii="Courier New" w:cs="Courier New" w:eastAsia="Courier New" w:hAnsi="Courier New"/>
          <w:sz w:val="18"/>
          <w:szCs w:val="18"/>
          <w:color w:val="auto"/>
        </w:rPr>
        <w:t>its Sole Member</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Joseph Sullivan</w:t>
      </w:r>
    </w:p>
    <w:p>
      <w:pPr>
        <w:ind w:left="4220"/>
        <w:spacing w:after="0" w:line="238" w:lineRule="auto"/>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FLA ADVISERS L.L.C.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Joseph Sullivan</w:t>
      </w:r>
    </w:p>
    <w:p>
      <w:pPr>
        <w:ind w:left="4220"/>
        <w:spacing w:after="0" w:line="238" w:lineRule="auto"/>
        <w:rPr>
          <w:sz w:val="20"/>
          <w:szCs w:val="20"/>
          <w:color w:val="auto"/>
        </w:rPr>
      </w:pPr>
      <w:r>
        <w:rPr>
          <w:rFonts w:ascii="Courier New" w:cs="Courier New" w:eastAsia="Courier New" w:hAnsi="Courier New"/>
          <w:sz w:val="18"/>
          <w:szCs w:val="18"/>
          <w:color w:val="auto"/>
        </w:rPr>
        <w:t>Chief Financial Officer</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FORSTMANN-LEFF INTERNATIONAL, LLC</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By: /s/ Robert Trosten</w:t>
      </w:r>
    </w:p>
    <w:p>
      <w:pPr>
        <w:ind w:left="4220"/>
        <w:spacing w:after="0" w:line="238" w:lineRule="auto"/>
        <w:rPr>
          <w:sz w:val="20"/>
          <w:szCs w:val="20"/>
          <w:color w:val="auto"/>
        </w:rPr>
      </w:pPr>
      <w:r>
        <w:rPr>
          <w:rFonts w:ascii="Courier New" w:cs="Courier New" w:eastAsia="Courier New" w:hAnsi="Courier New"/>
          <w:sz w:val="18"/>
          <w:szCs w:val="18"/>
          <w:color w:val="auto"/>
        </w:rPr>
        <w:t>Treasurer</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lowerRoman"/>
      <w:start w:val="10"/>
    </w:lvl>
  </w:abstractNum>
  <w:abstractNum w:abstractNumId="1">
    <w:nsid w:val="DED7263"/>
    <w:multiLevelType w:val="hybridMultilevel"/>
    <w:lvl w:ilvl="0">
      <w:lvlJc w:val="left"/>
      <w:lvlText w:val="1"/>
      <w:numFmt w:val="bullet"/>
      <w:start w:val="1"/>
    </w:lvl>
  </w:abstractNum>
  <w:abstractNum w:abstractNumId="2">
    <w:nsid w:val="7FDCC233"/>
    <w:multiLevelType w:val="hybridMultilevel"/>
    <w:lvl w:ilvl="0">
      <w:lvlJc w:val="left"/>
      <w:lvlText w:val="2"/>
      <w:numFmt w:val="bullet"/>
      <w:start w:val="1"/>
    </w:lvl>
    <w:lvl w:ilvl="1">
      <w:lvlJc w:val="left"/>
      <w:lvlText w:val="(%2)"/>
      <w:numFmt w:val="lowerLetter"/>
      <w:start w:val="1"/>
    </w:lvl>
  </w:abstractNum>
  <w:abstractNum w:abstractNumId="3">
    <w:nsid w:val="1BEFD79F"/>
    <w:multiLevelType w:val="hybridMultilevel"/>
    <w:lvl w:ilvl="0">
      <w:lvlJc w:val="left"/>
      <w:lvlText w:val="4"/>
      <w:numFmt w:val="bullet"/>
      <w:start w:val="1"/>
    </w:lvl>
  </w:abstractNum>
  <w:abstractNum w:abstractNumId="4">
    <w:nsid w:val="41A7C4C9"/>
    <w:multiLevelType w:val="hybridMultilevel"/>
    <w:lvl w:ilvl="0">
      <w:lvlJc w:val="left"/>
      <w:lvlText w:val="9"/>
      <w:numFmt w:val="bullet"/>
      <w:start w:val="1"/>
    </w:lvl>
  </w:abstractNum>
  <w:abstractNum w:abstractNumId="5">
    <w:nsid w:val="6B68079A"/>
    <w:multiLevelType w:val="hybridMultilevel"/>
    <w:lvl w:ilvl="0">
      <w:lvlJc w:val="left"/>
      <w:lvlText w:val="%1"/>
      <w:numFmt w:val="decimal"/>
      <w:start w:val="10"/>
    </w:lvl>
  </w:abstractNum>
  <w:abstractNum w:abstractNumId="6">
    <w:nsid w:val="4E6AFB66"/>
    <w:multiLevelType w:val="hybridMultilevel"/>
    <w:lvl w:ilvl="0">
      <w:lvlJc w:val="left"/>
      <w:lvlText w:val="%1"/>
      <w:numFmt w:val="decimal"/>
      <w:start w:val="11"/>
    </w:lvl>
  </w:abstractNum>
  <w:abstractNum w:abstractNumId="7">
    <w:nsid w:val="25E45D32"/>
    <w:multiLevelType w:val="hybridMultilevel"/>
    <w:lvl w:ilvl="0">
      <w:lvlJc w:val="left"/>
      <w:lvlText w:val="1"/>
      <w:numFmt w:val="bullet"/>
      <w:start w:val="1"/>
    </w:lvl>
  </w:abstractNum>
  <w:abstractNum w:abstractNumId="8">
    <w:nsid w:val="519B500D"/>
    <w:multiLevelType w:val="hybridMultilevel"/>
    <w:lvl w:ilvl="0">
      <w:lvlJc w:val="left"/>
      <w:lvlText w:val="2"/>
      <w:numFmt w:val="bullet"/>
      <w:start w:val="1"/>
    </w:lvl>
    <w:lvl w:ilvl="1">
      <w:lvlJc w:val="left"/>
      <w:lvlText w:val="(%2)"/>
      <w:numFmt w:val="lowerLetter"/>
      <w:start w:val="1"/>
    </w:lvl>
  </w:abstractNum>
  <w:abstractNum w:abstractNumId="9">
    <w:nsid w:val="431BD7B7"/>
    <w:multiLevelType w:val="hybridMultilevel"/>
    <w:lvl w:ilvl="0">
      <w:lvlJc w:val="left"/>
      <w:lvlText w:val="7"/>
      <w:numFmt w:val="bullet"/>
      <w:start w:val="1"/>
    </w:lvl>
  </w:abstractNum>
  <w:abstractNum w:abstractNumId="10">
    <w:nsid w:val="3F2DBA31"/>
    <w:multiLevelType w:val="hybridMultilevel"/>
    <w:lvl w:ilvl="0">
      <w:lvlJc w:val="left"/>
      <w:lvlText w:val="8"/>
      <w:numFmt w:val="bullet"/>
      <w:start w:val="1"/>
    </w:lvl>
  </w:abstractNum>
  <w:abstractNum w:abstractNumId="11">
    <w:nsid w:val="7C83E458"/>
    <w:multiLevelType w:val="hybridMultilevel"/>
    <w:lvl w:ilvl="0">
      <w:lvlJc w:val="left"/>
      <w:lvlText w:val="9"/>
      <w:numFmt w:val="bullet"/>
      <w:start w:val="1"/>
    </w:lvl>
  </w:abstractNum>
  <w:abstractNum w:abstractNumId="12">
    <w:nsid w:val="257130A3"/>
    <w:multiLevelType w:val="hybridMultilevel"/>
    <w:lvl w:ilvl="0">
      <w:lvlJc w:val="left"/>
      <w:lvlText w:val="%1"/>
      <w:numFmt w:val="decimal"/>
      <w:start w:val="10"/>
    </w:lvl>
  </w:abstractNum>
  <w:abstractNum w:abstractNumId="13">
    <w:nsid w:val="62BBD95A"/>
    <w:multiLevelType w:val="hybridMultilevel"/>
    <w:lvl w:ilvl="0">
      <w:lvlJc w:val="left"/>
      <w:lvlText w:val="%1"/>
      <w:numFmt w:val="decimal"/>
      <w:start w:val="11"/>
    </w:lvl>
  </w:abstractNum>
  <w:abstractNum w:abstractNumId="14">
    <w:nsid w:val="436C6125"/>
    <w:multiLevelType w:val="hybridMultilevel"/>
    <w:lvl w:ilvl="0">
      <w:lvlJc w:val="left"/>
      <w:lvlText w:val="1"/>
      <w:numFmt w:val="bullet"/>
      <w:start w:val="1"/>
    </w:lvl>
  </w:abstractNum>
  <w:abstractNum w:abstractNumId="15">
    <w:nsid w:val="628C895D"/>
    <w:multiLevelType w:val="hybridMultilevel"/>
    <w:lvl w:ilvl="0">
      <w:lvlJc w:val="left"/>
      <w:lvlText w:val="2"/>
      <w:numFmt w:val="bullet"/>
      <w:start w:val="1"/>
    </w:lvl>
    <w:lvl w:ilvl="1">
      <w:lvlJc w:val="left"/>
      <w:lvlText w:val="(%2)"/>
      <w:numFmt w:val="lowerLetter"/>
      <w:start w:val="1"/>
    </w:lvl>
  </w:abstractNum>
  <w:abstractNum w:abstractNumId="16">
    <w:nsid w:val="333AB105"/>
    <w:multiLevelType w:val="hybridMultilevel"/>
    <w:lvl w:ilvl="0">
      <w:lvlJc w:val="left"/>
      <w:lvlText w:val="4"/>
      <w:numFmt w:val="bullet"/>
      <w:start w:val="1"/>
    </w:lvl>
  </w:abstractNum>
  <w:abstractNum w:abstractNumId="17">
    <w:nsid w:val="721DA317"/>
    <w:multiLevelType w:val="hybridMultilevel"/>
    <w:lvl w:ilvl="0">
      <w:lvlJc w:val="left"/>
      <w:lvlText w:val="9"/>
      <w:numFmt w:val="bullet"/>
      <w:start w:val="1"/>
    </w:lvl>
  </w:abstractNum>
  <w:abstractNum w:abstractNumId="18">
    <w:nsid w:val="2443A858"/>
    <w:multiLevelType w:val="hybridMultilevel"/>
    <w:lvl w:ilvl="0">
      <w:lvlJc w:val="left"/>
      <w:lvlText w:val="%1"/>
      <w:numFmt w:val="decimal"/>
      <w:start w:val="10"/>
    </w:lvl>
  </w:abstractNum>
  <w:abstractNum w:abstractNumId="19">
    <w:nsid w:val="2D1D5AE9"/>
    <w:multiLevelType w:val="hybridMultilevel"/>
    <w:lvl w:ilvl="0">
      <w:lvlJc w:val="left"/>
      <w:lvlText w:val="%1"/>
      <w:numFmt w:val="decimal"/>
      <w:start w:val="11"/>
    </w:lvl>
  </w:abstractNum>
  <w:abstractNum w:abstractNumId="20">
    <w:nsid w:val="6763845E"/>
    <w:multiLevelType w:val="hybridMultilevel"/>
    <w:lvl w:ilvl="0">
      <w:lvlJc w:val="left"/>
      <w:lvlText w:val="1"/>
      <w:numFmt w:val="bullet"/>
      <w:start w:val="1"/>
    </w:lvl>
  </w:abstractNum>
  <w:abstractNum w:abstractNumId="21">
    <w:nsid w:val="75A2A8D4"/>
    <w:multiLevelType w:val="hybridMultilevel"/>
    <w:lvl w:ilvl="0">
      <w:lvlJc w:val="left"/>
      <w:lvlText w:val="2"/>
      <w:numFmt w:val="bullet"/>
      <w:start w:val="1"/>
    </w:lvl>
    <w:lvl w:ilvl="1">
      <w:lvlJc w:val="left"/>
      <w:lvlText w:val="(%2)"/>
      <w:numFmt w:val="lowerLetter"/>
      <w:start w:val="1"/>
    </w:lvl>
  </w:abstractNum>
  <w:abstractNum w:abstractNumId="22">
    <w:nsid w:val="8EDBDAB"/>
    <w:multiLevelType w:val="hybridMultilevel"/>
    <w:lvl w:ilvl="0">
      <w:lvlJc w:val="left"/>
      <w:lvlText w:val="9"/>
      <w:numFmt w:val="bullet"/>
      <w:start w:val="1"/>
    </w:lvl>
  </w:abstractNum>
  <w:abstractNum w:abstractNumId="23">
    <w:nsid w:val="79838CB2"/>
    <w:multiLevelType w:val="hybridMultilevel"/>
    <w:lvl w:ilvl="0">
      <w:lvlJc w:val="left"/>
      <w:lvlText w:val="%1"/>
      <w:numFmt w:val="decimal"/>
      <w:start w:val="10"/>
    </w:lvl>
  </w:abstractNum>
  <w:abstractNum w:abstractNumId="24">
    <w:nsid w:val="4353D0CD"/>
    <w:multiLevelType w:val="hybridMultilevel"/>
    <w:lvl w:ilvl="0">
      <w:lvlJc w:val="left"/>
      <w:lvlText w:val="%1"/>
      <w:numFmt w:val="decimal"/>
      <w:start w:val="11"/>
    </w:lvl>
  </w:abstractNum>
  <w:abstractNum w:abstractNumId="25">
    <w:nsid w:val="B03E0C6"/>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2019-12-20T00:20:16Z</dcterms:created>
  <dcterms:modified xsi:type="dcterms:W3CDTF">2019-12-20T00:20:16Z</dcterms:modified>
</cp:coreProperties>
</file>