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DOCUMENT TYPE SC 13G</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TEXT</w:t>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Washington, D.C. 20549</w:t>
      </w:r>
    </w:p>
    <w:p>
      <w:pPr>
        <w:spacing w:after="0" w:line="230" w:lineRule="auto"/>
        <w:rPr>
          <w:sz w:val="20"/>
          <w:szCs w:val="20"/>
          <w:color w:val="auto"/>
        </w:rPr>
      </w:pPr>
      <w:r>
        <w:rPr>
          <w:rFonts w:ascii="Arial" w:cs="Arial" w:eastAsia="Arial" w:hAnsi="Arial"/>
          <w:sz w:val="22"/>
          <w:szCs w:val="22"/>
          <w:color w:val="auto"/>
        </w:rPr>
        <w:t>SCHEDULE 13G</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Under the Securities Exchange Act of 1934</w:t>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22"/>
          <w:szCs w:val="22"/>
          <w:color w:val="auto"/>
        </w:rPr>
        <w:t>Name of Issuer: BOISE CASCADE CORP.</w:t>
      </w:r>
    </w:p>
    <w:p>
      <w:pPr>
        <w:spacing w:after="0" w:line="238" w:lineRule="auto"/>
        <w:rPr>
          <w:sz w:val="20"/>
          <w:szCs w:val="20"/>
          <w:color w:val="auto"/>
        </w:rPr>
      </w:pPr>
      <w:r>
        <w:rPr>
          <w:rFonts w:ascii="Arial" w:cs="Arial" w:eastAsia="Arial" w:hAnsi="Arial"/>
          <w:sz w:val="22"/>
          <w:szCs w:val="22"/>
          <w:color w:val="auto"/>
        </w:rPr>
        <w:t>_____________________________________________________</w:t>
      </w:r>
    </w:p>
    <w:p>
      <w:pPr>
        <w:spacing w:after="0" w:line="230" w:lineRule="auto"/>
        <w:rPr>
          <w:sz w:val="20"/>
          <w:szCs w:val="20"/>
          <w:color w:val="auto"/>
        </w:rPr>
      </w:pPr>
      <w:r>
        <w:rPr>
          <w:rFonts w:ascii="Arial" w:cs="Arial" w:eastAsia="Arial" w:hAnsi="Arial"/>
          <w:sz w:val="22"/>
          <w:szCs w:val="22"/>
          <w:color w:val="auto"/>
        </w:rPr>
        <w:t>Title of Class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of Securities: Common Stock</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CUSIP Number: 097383103</w:t>
      </w:r>
    </w:p>
    <w:p>
      <w:pPr>
        <w:spacing w:after="0" w:line="233" w:lineRule="exact"/>
        <w:rPr>
          <w:sz w:val="24"/>
          <w:szCs w:val="24"/>
          <w:color w:val="auto"/>
        </w:rPr>
      </w:pPr>
    </w:p>
    <w:p>
      <w:pPr>
        <w:ind w:right="3819" w:firstLine="8"/>
        <w:spacing w:after="0" w:line="534" w:lineRule="auto"/>
        <w:tabs>
          <w:tab w:leader="none" w:pos="234" w:val="left"/>
        </w:tabs>
        <w:numPr>
          <w:ilvl w:val="0"/>
          <w:numId w:val="1"/>
        </w:numPr>
        <w:rPr>
          <w:rFonts w:ascii="Arial" w:cs="Arial" w:eastAsia="Arial" w:hAnsi="Arial"/>
          <w:sz w:val="19"/>
          <w:szCs w:val="19"/>
          <w:color w:val="auto"/>
        </w:rPr>
      </w:pPr>
      <w:r>
        <w:rPr>
          <w:rFonts w:ascii="Arial" w:cs="Arial" w:eastAsia="Arial" w:hAnsi="Arial"/>
          <w:sz w:val="19"/>
          <w:szCs w:val="19"/>
          <w:color w:val="auto"/>
        </w:rPr>
        <w:t>NAME OF I.R.S. IDENTIFICATION NO. OF REPORTING PERSON The Prudential Insurance Company of America 22-1211670</w:t>
      </w:r>
    </w:p>
    <w:p>
      <w:pPr>
        <w:spacing w:after="0"/>
        <w:rPr>
          <w:sz w:val="20"/>
          <w:szCs w:val="20"/>
          <w:color w:val="auto"/>
        </w:rPr>
      </w:pPr>
      <w:r>
        <w:rPr>
          <w:rFonts w:ascii="Arial" w:cs="Arial" w:eastAsia="Arial" w:hAnsi="Arial"/>
          <w:sz w:val="22"/>
          <w:szCs w:val="22"/>
          <w:color w:val="auto"/>
        </w:rPr>
        <w:t>2.) MEMBER OF A GROUP: (a) N/A</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(b) N/A</w:t>
      </w:r>
    </w:p>
    <w:p>
      <w:pPr>
        <w:spacing w:after="0" w:line="215" w:lineRule="exact"/>
        <w:rPr>
          <w:sz w:val="24"/>
          <w:szCs w:val="24"/>
          <w:color w:val="auto"/>
        </w:rPr>
      </w:pPr>
    </w:p>
    <w:p>
      <w:pPr>
        <w:ind w:left="240" w:hanging="232"/>
        <w:spacing w:after="0"/>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right="3739" w:firstLine="8"/>
        <w:spacing w:after="0" w:line="251" w:lineRule="auto"/>
        <w:tabs>
          <w:tab w:leader="none" w:pos="234" w:val="left"/>
        </w:tabs>
        <w:numPr>
          <w:ilvl w:val="0"/>
          <w:numId w:val="2"/>
        </w:numPr>
        <w:rPr>
          <w:rFonts w:ascii="Arial" w:cs="Arial" w:eastAsia="Arial" w:hAnsi="Arial"/>
          <w:sz w:val="22"/>
          <w:szCs w:val="22"/>
          <w:color w:val="auto"/>
        </w:rPr>
      </w:pPr>
      <w:r>
        <w:rPr>
          <w:rFonts w:ascii="Arial" w:cs="Arial" w:eastAsia="Arial" w:hAnsi="Arial"/>
          <w:sz w:val="22"/>
          <w:szCs w:val="22"/>
          <w:color w:val="auto"/>
        </w:rPr>
        <w:t>PLACE OF ORGANIZATION: A mutual insurance company organized under the laws of the State of New Jersey</w:t>
      </w:r>
    </w:p>
    <w:p>
      <w:pPr>
        <w:spacing w:after="0" w:line="200" w:lineRule="exact"/>
        <w:rPr>
          <w:sz w:val="24"/>
          <w:szCs w:val="24"/>
          <w:color w:val="auto"/>
        </w:rPr>
      </w:pPr>
    </w:p>
    <w:p>
      <w:pPr>
        <w:spacing w:after="0"/>
        <w:rPr>
          <w:sz w:val="20"/>
          <w:szCs w:val="20"/>
          <w:color w:val="auto"/>
        </w:rPr>
      </w:pPr>
      <w:r>
        <w:rPr>
          <w:rFonts w:ascii="Arial" w:cs="Arial" w:eastAsia="Arial" w:hAnsi="Arial"/>
          <w:sz w:val="21"/>
          <w:szCs w:val="21"/>
          <w:color w:val="auto"/>
        </w:rPr>
        <w:t>NUMBER OF SHARES BENEFICIALLY OWNED BY REPORTING PERSON WITH:</w:t>
      </w:r>
    </w:p>
    <w:p>
      <w:pPr>
        <w:spacing w:after="0" w:line="245" w:lineRule="exact"/>
        <w:rPr>
          <w:sz w:val="24"/>
          <w:szCs w:val="24"/>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Sole Voting Power: 308,392 See Exhibit A</w:t>
      </w:r>
    </w:p>
    <w:p>
      <w:pPr>
        <w:spacing w:after="0" w:line="8" w:lineRule="exact"/>
        <w:rPr>
          <w:rFonts w:ascii="Arial" w:cs="Arial" w:eastAsia="Arial" w:hAnsi="Arial"/>
          <w:sz w:val="22"/>
          <w:szCs w:val="22"/>
          <w:color w:val="auto"/>
        </w:rPr>
      </w:pPr>
    </w:p>
    <w:p>
      <w:pPr>
        <w:ind w:left="240" w:hanging="232"/>
        <w:spacing w:after="0" w:line="230" w:lineRule="auto"/>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Shared Voting Power: 3,336,493 See Exhibit A</w:t>
      </w:r>
    </w:p>
    <w:p>
      <w:pPr>
        <w:ind w:left="240" w:hanging="232"/>
        <w:spacing w:after="0" w:line="230" w:lineRule="auto"/>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Sole Dispositive Power: 308,392 See Exhibit A</w:t>
      </w: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Shared Dispositive Power: 3,540,458 See Exhibit A</w:t>
      </w:r>
    </w:p>
    <w:p>
      <w:pPr>
        <w:spacing w:after="0" w:line="215" w:lineRule="exact"/>
        <w:rPr>
          <w:rFonts w:ascii="Arial" w:cs="Arial" w:eastAsia="Arial" w:hAnsi="Arial"/>
          <w:sz w:val="22"/>
          <w:szCs w:val="22"/>
          <w:color w:val="auto"/>
        </w:rPr>
      </w:pPr>
    </w:p>
    <w:p>
      <w:pPr>
        <w:ind w:right="5179" w:firstLine="8"/>
        <w:spacing w:after="0" w:line="251" w:lineRule="auto"/>
        <w:tabs>
          <w:tab w:leader="none" w:pos="234" w:val="left"/>
        </w:tabs>
        <w:numPr>
          <w:ilvl w:val="0"/>
          <w:numId w:val="3"/>
        </w:numPr>
        <w:rPr>
          <w:rFonts w:ascii="Arial" w:cs="Arial" w:eastAsia="Arial" w:hAnsi="Arial"/>
          <w:sz w:val="22"/>
          <w:szCs w:val="22"/>
          <w:color w:val="auto"/>
        </w:rPr>
      </w:pPr>
      <w:r>
        <w:rPr>
          <w:rFonts w:ascii="Arial" w:cs="Arial" w:eastAsia="Arial" w:hAnsi="Arial"/>
          <w:sz w:val="22"/>
          <w:szCs w:val="22"/>
          <w:color w:val="auto"/>
        </w:rPr>
        <w:t>AGGREGATE AMOUNT BENEFICIALLY OWNED: 3,848,850 See Exhibit A</w:t>
      </w:r>
    </w:p>
    <w:p>
      <w:pPr>
        <w:spacing w:after="0" w:line="200" w:lineRule="exact"/>
        <w:rPr>
          <w:rFonts w:ascii="Arial" w:cs="Arial" w:eastAsia="Arial" w:hAnsi="Arial"/>
          <w:sz w:val="22"/>
          <w:szCs w:val="22"/>
          <w:color w:val="auto"/>
        </w:rPr>
      </w:pPr>
    </w:p>
    <w:p>
      <w:pPr>
        <w:ind w:left="360" w:hanging="352"/>
        <w:spacing w:after="0"/>
        <w:tabs>
          <w:tab w:leader="none" w:pos="360" w:val="left"/>
        </w:tabs>
        <w:numPr>
          <w:ilvl w:val="0"/>
          <w:numId w:val="3"/>
        </w:numPr>
        <w:rPr>
          <w:rFonts w:ascii="Arial" w:cs="Arial" w:eastAsia="Arial" w:hAnsi="Arial"/>
          <w:sz w:val="22"/>
          <w:szCs w:val="22"/>
          <w:color w:val="auto"/>
        </w:rPr>
      </w:pPr>
      <w:r>
        <w:rPr>
          <w:rFonts w:ascii="Arial" w:cs="Arial" w:eastAsia="Arial" w:hAnsi="Arial"/>
          <w:sz w:val="22"/>
          <w:szCs w:val="22"/>
          <w:color w:val="auto"/>
        </w:rPr>
        <w:t>AGGREGATE AMOUNT IN ROW (9) EXCLUDES SHARES: Not Applicable</w:t>
      </w:r>
    </w:p>
    <w:p>
      <w:pPr>
        <w:spacing w:after="0" w:line="233" w:lineRule="exact"/>
        <w:rPr>
          <w:rFonts w:ascii="Arial" w:cs="Arial" w:eastAsia="Arial" w:hAnsi="Arial"/>
          <w:sz w:val="22"/>
          <w:szCs w:val="22"/>
          <w:color w:val="auto"/>
        </w:rPr>
      </w:pPr>
    </w:p>
    <w:p>
      <w:pPr>
        <w:ind w:left="340" w:hanging="332"/>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6.71 See Exhibit A</w:t>
      </w:r>
    </w:p>
    <w:p>
      <w:pPr>
        <w:spacing w:after="0" w:line="215" w:lineRule="exact"/>
        <w:rPr>
          <w:sz w:val="24"/>
          <w:szCs w:val="24"/>
          <w:color w:val="auto"/>
        </w:rPr>
      </w:pPr>
    </w:p>
    <w:p>
      <w:pPr>
        <w:ind w:right="6199" w:firstLine="8"/>
        <w:spacing w:after="0" w:line="461" w:lineRule="auto"/>
        <w:tabs>
          <w:tab w:leader="none" w:pos="342" w:val="left"/>
        </w:tabs>
        <w:numPr>
          <w:ilvl w:val="0"/>
          <w:numId w:val="4"/>
        </w:numPr>
        <w:rPr>
          <w:rFonts w:ascii="Arial" w:cs="Arial" w:eastAsia="Arial" w:hAnsi="Arial"/>
          <w:sz w:val="22"/>
          <w:szCs w:val="22"/>
          <w:color w:val="auto"/>
        </w:rPr>
      </w:pPr>
      <w:r>
        <w:rPr>
          <w:rFonts w:ascii="Arial" w:cs="Arial" w:eastAsia="Arial" w:hAnsi="Arial"/>
          <w:sz w:val="22"/>
          <w:szCs w:val="22"/>
          <w:color w:val="auto"/>
        </w:rPr>
        <w:t>TYPE OF REPORTING PERSON: IC, IA ITEM 1(a). NAME OF ISSUER:</w:t>
      </w:r>
    </w:p>
    <w:p>
      <w:pPr>
        <w:spacing w:after="0"/>
        <w:rPr>
          <w:rFonts w:ascii="Arial" w:cs="Arial" w:eastAsia="Arial" w:hAnsi="Arial"/>
          <w:sz w:val="22"/>
          <w:szCs w:val="22"/>
          <w:color w:val="auto"/>
        </w:rPr>
      </w:pPr>
      <w:r>
        <w:rPr>
          <w:rFonts w:ascii="Arial" w:cs="Arial" w:eastAsia="Arial" w:hAnsi="Arial"/>
          <w:sz w:val="22"/>
          <w:szCs w:val="22"/>
          <w:color w:val="auto"/>
        </w:rPr>
        <w:t>BOISE CASCADE CORP.</w:t>
      </w:r>
    </w:p>
    <w:p>
      <w:pPr>
        <w:spacing w:after="0" w:line="23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ITEM 1(b). ADDRESS OF ISSUER'S EXECUTIVE OFFICES:</w:t>
      </w:r>
    </w:p>
    <w:p>
      <w:pPr>
        <w:spacing w:after="0" w:line="233" w:lineRule="exact"/>
        <w:rPr>
          <w:rFonts w:ascii="Arial" w:cs="Arial" w:eastAsia="Arial" w:hAnsi="Arial"/>
          <w:sz w:val="22"/>
          <w:szCs w:val="22"/>
          <w:color w:val="auto"/>
        </w:rPr>
      </w:pPr>
    </w:p>
    <w:p>
      <w:pPr>
        <w:ind w:right="2199"/>
        <w:spacing w:after="0" w:line="461" w:lineRule="auto"/>
        <w:rPr>
          <w:rFonts w:ascii="Arial" w:cs="Arial" w:eastAsia="Arial" w:hAnsi="Arial"/>
          <w:sz w:val="22"/>
          <w:szCs w:val="22"/>
          <w:color w:val="auto"/>
        </w:rPr>
      </w:pPr>
      <w:r>
        <w:rPr>
          <w:rFonts w:ascii="Arial" w:cs="Arial" w:eastAsia="Arial" w:hAnsi="Arial"/>
          <w:sz w:val="22"/>
          <w:szCs w:val="22"/>
          <w:color w:val="auto"/>
        </w:rPr>
        <w:t>BOISE CASCADE CORP. 1111 West Jefferson Street P.O. Box 50 Boise, Idaho 83728-0001 ITEM 2(a). NAME OF PERSON FILING:</w:t>
      </w:r>
    </w:p>
    <w:p>
      <w:pPr>
        <w:spacing w:after="0"/>
        <w:rPr>
          <w:rFonts w:ascii="Arial" w:cs="Arial" w:eastAsia="Arial" w:hAnsi="Arial"/>
          <w:sz w:val="22"/>
          <w:szCs w:val="22"/>
          <w:color w:val="auto"/>
        </w:rPr>
      </w:pPr>
      <w:r>
        <w:rPr>
          <w:rFonts w:ascii="Arial" w:cs="Arial" w:eastAsia="Arial" w:hAnsi="Arial"/>
          <w:sz w:val="22"/>
          <w:szCs w:val="22"/>
          <w:color w:val="auto"/>
        </w:rPr>
        <w:t>The Prudential Insurance Company of America</w:t>
      </w:r>
    </w:p>
    <w:p>
      <w:pPr>
        <w:spacing w:after="0" w:line="23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ITEM 2(b). ADDRESS OF PRINCIPAL BUSINESS OFFICE:</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751 Broad Street</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Newark, New Jersey 07102-3777</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ITEM 2(c). CITIZENSHIP:</w:t>
      </w:r>
    </w:p>
    <w:p>
      <w:pPr>
        <w:sectPr>
          <w:pgSz w:w="11900" w:h="16838" w:orient="portrait"/>
          <w:cols w:equalWidth="0" w:num="1">
            <w:col w:w="10219"/>
          </w:cols>
          <w:pgMar w:left="240" w:top="226" w:right="1440" w:bottom="0" w:gutter="0" w:footer="0" w:header="0"/>
        </w:sectPr>
      </w:pPr>
    </w:p>
    <w:bookmarkStart w:id="1" w:name="page2"/>
    <w:bookmarkEnd w:id="1"/>
    <w:p>
      <w:pPr>
        <w:spacing w:after="0" w:line="83" w:lineRule="exact"/>
        <w:rPr>
          <w:sz w:val="20"/>
          <w:szCs w:val="20"/>
          <w:color w:val="auto"/>
        </w:rPr>
      </w:pPr>
    </w:p>
    <w:p>
      <w:pPr>
        <w:spacing w:after="0"/>
        <w:rPr>
          <w:sz w:val="20"/>
          <w:szCs w:val="20"/>
          <w:color w:val="auto"/>
        </w:rPr>
      </w:pPr>
      <w:r>
        <w:rPr>
          <w:rFonts w:ascii="Arial" w:cs="Arial" w:eastAsia="Arial" w:hAnsi="Arial"/>
          <w:sz w:val="22"/>
          <w:szCs w:val="22"/>
          <w:color w:val="auto"/>
        </w:rPr>
        <w:t>A mutual insurance company organized under the laws of</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the State of New Jersey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ITEM 2(d). TITLE OF CLASS OF SECURITIES: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Common Stock</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ITEM 2(e). CUSIP NUMBER: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097383103</w:t>
      </w:r>
    </w:p>
    <w:p>
      <w:pPr>
        <w:spacing w:after="0" w:line="233" w:lineRule="exact"/>
        <w:rPr>
          <w:sz w:val="20"/>
          <w:szCs w:val="20"/>
          <w:color w:val="auto"/>
        </w:rPr>
      </w:pPr>
    </w:p>
    <w:p>
      <w:pPr>
        <w:ind w:right="4419"/>
        <w:spacing w:after="0" w:line="273" w:lineRule="auto"/>
        <w:rPr>
          <w:sz w:val="20"/>
          <w:szCs w:val="20"/>
          <w:color w:val="auto"/>
        </w:rPr>
      </w:pPr>
      <w:r>
        <w:rPr>
          <w:rFonts w:ascii="Arial" w:cs="Arial" w:eastAsia="Arial" w:hAnsi="Arial"/>
          <w:sz w:val="19"/>
          <w:szCs w:val="19"/>
          <w:color w:val="auto"/>
        </w:rPr>
        <w:t>ITEM 3. The Person filing this statement is an Insurance Company as defined in Section 3(a) (19) of the Securities Exchange Act of 1934, and an Investment Adviser registered under</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Section 203 of the Investment Advisers Act of 1940.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ITEM 4. OWNERSHIP: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 Number of Shares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Beneficially Owned: 3,848,850 See Exhibit 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 Percent of Class: 6.71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Number</w:t>
      </w:r>
    </w:p>
    <w:p>
      <w:pPr>
        <w:spacing w:after="0" w:line="238" w:lineRule="auto"/>
        <w:rPr>
          <w:sz w:val="20"/>
          <w:szCs w:val="20"/>
          <w:color w:val="auto"/>
        </w:rPr>
      </w:pPr>
      <w:r>
        <w:rPr>
          <w:rFonts w:ascii="Arial" w:cs="Arial" w:eastAsia="Arial" w:hAnsi="Arial"/>
          <w:sz w:val="22"/>
          <w:szCs w:val="22"/>
          <w:color w:val="auto"/>
        </w:rPr>
        <w:t>(c) Powers Of Shares</w:t>
      </w:r>
    </w:p>
    <w:p>
      <w:pPr>
        <w:spacing w:after="0" w:line="230" w:lineRule="auto"/>
        <w:rPr>
          <w:sz w:val="20"/>
          <w:szCs w:val="20"/>
          <w:color w:val="auto"/>
        </w:rPr>
      </w:pPr>
      <w:r>
        <w:rPr>
          <w:rFonts w:ascii="Arial" w:cs="Arial" w:eastAsia="Arial" w:hAnsi="Arial"/>
          <w:sz w:val="22"/>
          <w:szCs w:val="22"/>
          <w:color w:val="auto"/>
        </w:rPr>
        <w:t>------------------------------------- - -------------------------------------</w:t>
      </w:r>
    </w:p>
    <w:p>
      <w:pPr>
        <w:spacing w:after="0" w:line="231" w:lineRule="auto"/>
        <w:rPr>
          <w:sz w:val="20"/>
          <w:szCs w:val="20"/>
          <w:color w:val="auto"/>
        </w:rPr>
      </w:pPr>
      <w:r>
        <w:rPr>
          <w:rFonts w:ascii="Arial" w:cs="Arial" w:eastAsia="Arial" w:hAnsi="Arial"/>
          <w:sz w:val="22"/>
          <w:szCs w:val="22"/>
          <w:color w:val="auto"/>
        </w:rPr>
        <w:t>Sole power to vote or 308,392 See Exhibit 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to direct the vote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Shared power to vote or 3,336,493 See Exhibit 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to direct the vote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Sole power to dispose or 308,392 See Exhibit 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to direct disposition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Shared power to dispose 3,540,458 See Exhibit 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or to direct disposition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ITEM 5. OWNERSHIP OF 5% OR LESS OF A CLASS: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ind w:right="4559"/>
        <w:spacing w:after="0" w:line="251" w:lineRule="auto"/>
        <w:rPr>
          <w:sz w:val="20"/>
          <w:szCs w:val="20"/>
          <w:color w:val="auto"/>
        </w:rPr>
      </w:pPr>
      <w:r>
        <w:rPr>
          <w:rFonts w:ascii="Arial" w:cs="Arial" w:eastAsia="Arial" w:hAnsi="Arial"/>
          <w:sz w:val="22"/>
          <w:szCs w:val="22"/>
          <w:color w:val="auto"/>
        </w:rPr>
        <w:t>ITEM 6. OWNERSHIP OF MORE THAN 5% ON BEHALF OF ANOTHER PERSON: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See Exhibit A</w:t>
      </w:r>
    </w:p>
    <w:p>
      <w:pPr>
        <w:spacing w:after="0" w:line="233" w:lineRule="exact"/>
        <w:rPr>
          <w:sz w:val="20"/>
          <w:szCs w:val="20"/>
          <w:color w:val="auto"/>
        </w:rPr>
      </w:pPr>
    </w:p>
    <w:p>
      <w:pPr>
        <w:jc w:val="both"/>
        <w:ind w:right="4599"/>
        <w:spacing w:after="0" w:line="258" w:lineRule="auto"/>
        <w:rPr>
          <w:sz w:val="20"/>
          <w:szCs w:val="20"/>
          <w:color w:val="auto"/>
        </w:rPr>
      </w:pPr>
      <w:r>
        <w:rPr>
          <w:rFonts w:ascii="Arial" w:cs="Arial" w:eastAsia="Arial" w:hAnsi="Arial"/>
          <w:sz w:val="21"/>
          <w:szCs w:val="21"/>
          <w:color w:val="auto"/>
        </w:rPr>
        <w:t>ITEM 7. IDENTIFICATION AND CLASSIFICATION OF THE SUBSIDIARY WHICH ACQUIRED THE SECURITY BEING REPORTED ON BY THE ULTIMATE PARENT COMPANY:</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ind w:right="5079"/>
        <w:spacing w:after="0" w:line="251" w:lineRule="auto"/>
        <w:rPr>
          <w:sz w:val="20"/>
          <w:szCs w:val="20"/>
          <w:color w:val="auto"/>
        </w:rPr>
      </w:pPr>
      <w:r>
        <w:rPr>
          <w:rFonts w:ascii="Arial" w:cs="Arial" w:eastAsia="Arial" w:hAnsi="Arial"/>
          <w:sz w:val="22"/>
          <w:szCs w:val="22"/>
          <w:color w:val="auto"/>
        </w:rPr>
        <w:t>ITEM 8. IDENTIFICATION AND CLASSIFICATION OF MEMBERS OF THE GROUP:</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ITEM 9. NOTICE OF DISSOLUTION OF GROUP: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ITEM 10. CERTIFICATION:</w:t>
      </w:r>
    </w:p>
    <w:p>
      <w:pPr>
        <w:spacing w:after="0" w:line="233" w:lineRule="exact"/>
        <w:rPr>
          <w:sz w:val="20"/>
          <w:szCs w:val="20"/>
          <w:color w:val="auto"/>
        </w:rPr>
      </w:pPr>
    </w:p>
    <w:p>
      <w:pPr>
        <w:ind w:right="4559"/>
        <w:spacing w:after="0" w:line="287" w:lineRule="auto"/>
        <w:rPr>
          <w:sz w:val="20"/>
          <w:szCs w:val="20"/>
          <w:color w:val="auto"/>
        </w:rPr>
      </w:pPr>
      <w:r>
        <w:rPr>
          <w:rFonts w:ascii="Arial" w:cs="Arial" w:eastAsia="Arial" w:hAnsi="Arial"/>
          <w:sz w:val="19"/>
          <w:szCs w:val="19"/>
          <w:color w:val="auto"/>
        </w:rPr>
        <w:t>By signing below, the Prudential Insurance Company of America certifies that, to the best of its knowledge and belief, the securities referred to above were acquired in the ordinary course of business and were not acquired for the purpose of and do not</w:t>
      </w:r>
    </w:p>
    <w:p>
      <w:pPr>
        <w:sectPr>
          <w:pgSz w:w="11900" w:h="16922" w:orient="portrait"/>
          <w:cols w:equalWidth="0" w:num="1">
            <w:col w:w="10219"/>
          </w:cols>
          <w:pgMar w:left="240" w:top="118" w:right="1440" w:bottom="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have the effect of changing or influencing the control of the</w:t>
      </w:r>
    </w:p>
    <w:p>
      <w:pPr>
        <w:spacing w:after="0" w:line="238" w:lineRule="auto"/>
        <w:rPr>
          <w:sz w:val="20"/>
          <w:szCs w:val="20"/>
          <w:color w:val="auto"/>
        </w:rPr>
      </w:pPr>
      <w:r>
        <w:rPr>
          <w:rFonts w:ascii="Arial" w:cs="Arial" w:eastAsia="Arial" w:hAnsi="Arial"/>
          <w:sz w:val="22"/>
          <w:szCs w:val="22"/>
          <w:color w:val="auto"/>
        </w:rPr>
        <w:t>issuer of such securities and were not acquired in connection</w:t>
      </w:r>
    </w:p>
    <w:p>
      <w:pPr>
        <w:spacing w:after="0" w:line="231" w:lineRule="auto"/>
        <w:rPr>
          <w:sz w:val="20"/>
          <w:szCs w:val="20"/>
          <w:color w:val="auto"/>
        </w:rPr>
      </w:pPr>
      <w:r>
        <w:rPr>
          <w:rFonts w:ascii="Arial" w:cs="Arial" w:eastAsia="Arial" w:hAnsi="Arial"/>
          <w:sz w:val="22"/>
          <w:szCs w:val="22"/>
          <w:color w:val="auto"/>
        </w:rPr>
        <w:t>with or as a participant in any transaction having such purpose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or effect.</w:t>
      </w:r>
    </w:p>
    <w:p>
      <w:pPr>
        <w:spacing w:after="0" w:line="215" w:lineRule="exact"/>
        <w:rPr>
          <w:sz w:val="20"/>
          <w:szCs w:val="20"/>
          <w:color w:val="auto"/>
        </w:rPr>
      </w:pPr>
    </w:p>
    <w:p>
      <w:pPr>
        <w:ind w:right="5120"/>
        <w:spacing w:after="0" w:line="297" w:lineRule="auto"/>
        <w:rPr>
          <w:sz w:val="20"/>
          <w:szCs w:val="20"/>
          <w:color w:val="auto"/>
        </w:rPr>
      </w:pPr>
      <w:r>
        <w:rPr>
          <w:rFonts w:ascii="Arial" w:cs="Arial" w:eastAsia="Arial" w:hAnsi="Arial"/>
          <w:sz w:val="19"/>
          <w:szCs w:val="19"/>
          <w:color w:val="auto"/>
        </w:rPr>
        <w:t>The filing of this statement should not be construed as an admission that Prudential is, for purposes of Sections 13 or 16 of the Securities Exchange Act of 1934, the beneficial owner of such shares.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33" w:lineRule="exact"/>
        <w:rPr>
          <w:sz w:val="20"/>
          <w:szCs w:val="20"/>
          <w:color w:val="auto"/>
        </w:rPr>
      </w:pPr>
    </w:p>
    <w:p>
      <w:pPr>
        <w:ind w:right="5540"/>
        <w:spacing w:after="0" w:line="238" w:lineRule="auto"/>
        <w:rPr>
          <w:sz w:val="20"/>
          <w:szCs w:val="20"/>
          <w:color w:val="auto"/>
        </w:rPr>
      </w:pPr>
      <w:r>
        <w:rPr>
          <w:rFonts w:ascii="Arial" w:cs="Arial" w:eastAsia="Arial" w:hAnsi="Arial"/>
          <w:sz w:val="22"/>
          <w:szCs w:val="22"/>
          <w:color w:val="auto"/>
        </w:rPr>
        <w:t>After reasonable inquiry and to the best of its knowledge and belief, The Prudential Insurance Company of America certifies that the information set forth in this statement is true, complete and correct.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THE PRUDENTIAL INSURANCE COMPANY OF AMERICA</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 Ellen McGlynn Koke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Vice President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Date: 02/05/2001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As of: 12/31/2000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Exhibit 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ITEM 6. OWNERSHIP:</w:t>
      </w:r>
    </w:p>
    <w:p>
      <w:pPr>
        <w:spacing w:after="0" w:line="233"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The Prudential Insurance Company of America ('Prudential') presently holds 300 shares of Issuer's common stock for the benefit of its general account. In addition, Prudential may have direct or indirect voting and/or investment discretion over 3,848,550 shares which are held for it's own benefit or for the benefit of its clients by its separate accounts, externally managed accounts, registered investment companies, subsidiaries and/or other affiliates. Prudential is reporting the combined holdings of these entities for the purpose of administrative convenience. These shares were acquired in the ordinary course of business, and not with the purpose or effect of changing or influencing control of the Issuer. The filing of this statement should not be construed as an admission that Prudential is, for the purposes of Sections 13 or 16 of the Securities Exchange Act of 1934, the beneficial owner of these shares.</w:t>
      </w:r>
    </w:p>
    <w:sectPr>
      <w:pgSz w:w="11900" w:h="16838" w:orient="portrait"/>
      <w:cols w:equalWidth="0" w:num="1">
        <w:col w:w="11380"/>
      </w:cols>
      <w:pgMar w:left="24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2019-12-12T08:28:50Z</dcterms:created>
  <dcterms:modified xsi:type="dcterms:W3CDTF">2019-12-12T08:28:50Z</dcterms:modified>
</cp:coreProperties>
</file>