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jc w:val="center"/>
        <w:ind w:left="360"/>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-5715</wp:posOffset>
            </wp:positionV>
            <wp:extent cx="144780" cy="195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780" cy="195580"/>
                    </a:xfrm>
                    <a:prstGeom prst="rect">
                      <a:avLst/>
                    </a:prstGeom>
                    <a:noFill/>
                  </pic:spPr>
                </pic:pic>
              </a:graphicData>
            </a:graphic>
          </wp:anchor>
        </w:drawing>
      </w:r>
    </w:p>
    <w:p>
      <w:pPr>
        <w:jc w:val="both"/>
        <w:ind w:left="360" w:right="360" w:hanging="272"/>
        <w:spacing w:after="0" w:line="187"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799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79945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20" w:space="34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Lewis Michael</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MAPLEBY HOLDINGS MERGER Corp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540" w:type="dxa"/>
            <w:vAlign w:val="bottom"/>
            <w:gridSpan w:val="3"/>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3980" w:type="dxa"/>
            <w:vAlign w:val="bottom"/>
            <w:gridSpan w:val="3"/>
            <w:vMerge w:val="restart"/>
          </w:tcPr>
          <w:p>
            <w:pPr>
              <w:ind w:left="80"/>
              <w:spacing w:after="0"/>
              <w:rPr>
                <w:sz w:val="20"/>
                <w:szCs w:val="20"/>
                <w:color w:val="auto"/>
              </w:rPr>
            </w:pPr>
            <w:r>
              <w:rPr>
                <w:rFonts w:ascii="Arial" w:cs="Arial" w:eastAsia="Arial" w:hAnsi="Arial"/>
                <w:sz w:val="17"/>
                <w:szCs w:val="17"/>
                <w:color w:val="0000FF"/>
              </w:rPr>
              <w:t xml:space="preserve">OMX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3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60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980" w:type="dxa"/>
            <w:vAlign w:val="bottom"/>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3800" w:type="dxa"/>
            <w:vAlign w:val="bottom"/>
            <w:gridSpan w:val="4"/>
            <w:vMerge w:val="restart"/>
          </w:tcPr>
          <w:p>
            <w:pPr>
              <w:spacing w:after="0"/>
              <w:rPr>
                <w:sz w:val="20"/>
                <w:szCs w:val="20"/>
                <w:color w:val="auto"/>
              </w:rPr>
            </w:pPr>
            <w:r>
              <w:rPr>
                <w:rFonts w:ascii="Arial" w:cs="Arial" w:eastAsia="Arial" w:hAnsi="Arial"/>
                <w:sz w:val="17"/>
                <w:szCs w:val="17"/>
                <w:color w:val="0000FF"/>
              </w:rPr>
              <w:t>C/O OFFICEMAX INCORPORATED</w:t>
            </w:r>
          </w:p>
        </w:tc>
        <w:tc>
          <w:tcPr>
            <w:tcW w:w="80" w:type="dxa"/>
            <w:vAlign w:val="bottom"/>
          </w:tcPr>
          <w:p>
            <w:pPr>
              <w:spacing w:after="0"/>
              <w:rPr>
                <w:sz w:val="8"/>
                <w:szCs w:val="8"/>
                <w:color w:val="auto"/>
              </w:rPr>
            </w:pPr>
          </w:p>
        </w:tc>
        <w:tc>
          <w:tcPr>
            <w:tcW w:w="39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800" w:type="dxa"/>
            <w:vAlign w:val="bottom"/>
            <w:gridSpan w:val="4"/>
            <w:vMerge w:val="continue"/>
          </w:tcPr>
          <w:p>
            <w:pPr>
              <w:spacing w:after="0"/>
              <w:rPr>
                <w:sz w:val="19"/>
                <w:szCs w:val="19"/>
                <w:color w:val="auto"/>
              </w:rPr>
            </w:pPr>
          </w:p>
        </w:tc>
        <w:tc>
          <w:tcPr>
            <w:tcW w:w="3760" w:type="dxa"/>
            <w:vAlign w:val="bottom"/>
            <w:gridSpan w:val="3"/>
          </w:tcPr>
          <w:p>
            <w:pPr>
              <w:ind w:left="160"/>
              <w:spacing w:after="0"/>
              <w:rPr>
                <w:sz w:val="20"/>
                <w:szCs w:val="20"/>
                <w:color w:val="auto"/>
              </w:rPr>
            </w:pPr>
            <w:r>
              <w:rPr>
                <w:rFonts w:ascii="Arial" w:cs="Arial" w:eastAsia="Arial" w:hAnsi="Arial"/>
                <w:sz w:val="17"/>
                <w:szCs w:val="17"/>
                <w:color w:val="0000FF"/>
              </w:rPr>
              <w:t>11/05/2013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263 SHUMAN BLVD.</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666"/>
        <w:spacing w:after="0"/>
        <w:rPr>
          <w:sz w:val="20"/>
          <w:szCs w:val="20"/>
          <w:color w:val="auto"/>
        </w:rPr>
      </w:pPr>
      <w:r>
        <w:rPr>
          <w:rFonts w:ascii="Arial" w:cs="Arial" w:eastAsia="Arial" w:hAnsi="Arial"/>
          <w:sz w:val="17"/>
          <w:szCs w:val="17"/>
          <w:color w:val="0000FF"/>
        </w:rPr>
        <w:t>EVP and President of Retail</w:t>
      </w:r>
    </w:p>
    <w:p>
      <w:pPr>
        <w:spacing w:after="0" w:line="408" w:lineRule="exact"/>
        <w:rPr>
          <w:sz w:val="20"/>
          <w:szCs w:val="20"/>
          <w:color w:val="auto"/>
        </w:rPr>
      </w:pPr>
    </w:p>
    <w:p>
      <w:pPr>
        <w:sectPr>
          <w:pgSz w:w="11900" w:h="16838" w:orient="portrait"/>
          <w:cols w:equalWidth="0" w:num="2">
            <w:col w:w="7980" w:space="7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2"/>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rPr>
              <w:t>NAPERVILLE   IL</w:t>
            </w:r>
          </w:p>
        </w:tc>
        <w:tc>
          <w:tcPr>
            <w:tcW w:w="1020" w:type="dxa"/>
            <w:vAlign w:val="bottom"/>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60563</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2660" w:type="dxa"/>
            <w:vAlign w:val="bottom"/>
            <w:tcBorders>
              <w:bottom w:val="single" w:sz="8" w:color="2C2C2C"/>
            </w:tcBorders>
            <w:gridSpan w:val="6"/>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5"/>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11/05/2013</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85"/>
              </w:rPr>
              <w:t>99,657</w:t>
            </w:r>
            <w:r>
              <w:rPr>
                <w:rFonts w:ascii="Arial" w:cs="Arial" w:eastAsia="Arial" w:hAnsi="Arial"/>
                <w:sz w:val="22"/>
                <w:szCs w:val="22"/>
                <w:color w:val="008000"/>
                <w:w w:val="85"/>
                <w:vertAlign w:val="superscript"/>
              </w:rPr>
              <w:t>(1)</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40" w:type="dxa"/>
            <w:vAlign w:val="bottom"/>
            <w:gridSpan w:val="12"/>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77,656</w:t>
            </w:r>
          </w:p>
        </w:tc>
        <w:tc>
          <w:tcPr>
            <w:tcW w:w="6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1"/>
                <w:szCs w:val="11"/>
                <w:color w:val="008000"/>
              </w:rPr>
              <w:t>(3)</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860" w:type="dxa"/>
            <w:vAlign w:val="bottom"/>
          </w:tcPr>
          <w:p>
            <w:pPr>
              <w:ind w:left="2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8.83</w:t>
            </w:r>
          </w:p>
        </w:tc>
        <w:tc>
          <w:tcPr>
            <w:tcW w:w="1020" w:type="dxa"/>
            <w:vAlign w:val="bottom"/>
          </w:tcPr>
          <w:p>
            <w:pPr>
              <w:jc w:val="right"/>
              <w:ind w:right="133"/>
              <w:spacing w:after="0" w:line="132" w:lineRule="exact"/>
              <w:rPr>
                <w:sz w:val="20"/>
                <w:szCs w:val="20"/>
                <w:color w:val="auto"/>
              </w:rPr>
            </w:pPr>
            <w:r>
              <w:rPr>
                <w:rFonts w:ascii="Arial" w:cs="Arial" w:eastAsia="Arial" w:hAnsi="Arial"/>
                <w:sz w:val="13"/>
                <w:szCs w:val="13"/>
                <w:color w:val="0000FF"/>
              </w:rPr>
              <w:t>11/05/2013</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D</w:t>
            </w:r>
          </w:p>
        </w:tc>
        <w:tc>
          <w:tcPr>
            <w:tcW w:w="940" w:type="dxa"/>
            <w:vAlign w:val="bottom"/>
          </w:tcPr>
          <w:p>
            <w:pPr>
              <w:ind w:left="460"/>
              <w:spacing w:after="0" w:line="132" w:lineRule="exact"/>
              <w:rPr>
                <w:sz w:val="20"/>
                <w:szCs w:val="20"/>
                <w:color w:val="auto"/>
              </w:rPr>
            </w:pPr>
            <w:r>
              <w:rPr>
                <w:rFonts w:ascii="Arial" w:cs="Arial" w:eastAsia="Arial" w:hAnsi="Arial"/>
                <w:sz w:val="13"/>
                <w:szCs w:val="13"/>
                <w:color w:val="0000FF"/>
              </w:rPr>
              <w:t>77,656</w:t>
            </w:r>
          </w:p>
        </w:tc>
        <w:tc>
          <w:tcPr>
            <w:tcW w:w="800" w:type="dxa"/>
            <w:vAlign w:val="bottom"/>
            <w:gridSpan w:val="2"/>
            <w:vMerge w:val="continue"/>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05/02/2018</w:t>
            </w:r>
          </w:p>
        </w:tc>
        <w:tc>
          <w:tcPr>
            <w:tcW w:w="7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20" w:type="dxa"/>
            <w:vAlign w:val="bottom"/>
          </w:tcPr>
          <w:p>
            <w:pPr>
              <w:ind w:left="380"/>
              <w:spacing w:after="0" w:line="132"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71,216</w:t>
            </w:r>
          </w:p>
        </w:tc>
        <w:tc>
          <w:tcPr>
            <w:tcW w:w="6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1"/>
                <w:szCs w:val="11"/>
                <w:color w:val="008000"/>
              </w:rPr>
              <w:t>(4)</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860" w:type="dxa"/>
            <w:vAlign w:val="bottom"/>
          </w:tcPr>
          <w:p>
            <w:pPr>
              <w:ind w:left="2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4.92</w:t>
            </w:r>
          </w:p>
        </w:tc>
        <w:tc>
          <w:tcPr>
            <w:tcW w:w="1020" w:type="dxa"/>
            <w:vAlign w:val="bottom"/>
          </w:tcPr>
          <w:p>
            <w:pPr>
              <w:jc w:val="right"/>
              <w:ind w:right="133"/>
              <w:spacing w:after="0" w:line="132" w:lineRule="exact"/>
              <w:rPr>
                <w:sz w:val="20"/>
                <w:szCs w:val="20"/>
                <w:color w:val="auto"/>
              </w:rPr>
            </w:pPr>
            <w:r>
              <w:rPr>
                <w:rFonts w:ascii="Arial" w:cs="Arial" w:eastAsia="Arial" w:hAnsi="Arial"/>
                <w:sz w:val="13"/>
                <w:szCs w:val="13"/>
                <w:color w:val="0000FF"/>
              </w:rPr>
              <w:t>11/05/2013</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D</w:t>
            </w:r>
          </w:p>
        </w:tc>
        <w:tc>
          <w:tcPr>
            <w:tcW w:w="940" w:type="dxa"/>
            <w:vAlign w:val="bottom"/>
          </w:tcPr>
          <w:p>
            <w:pPr>
              <w:ind w:left="460"/>
              <w:spacing w:after="0" w:line="132" w:lineRule="exact"/>
              <w:rPr>
                <w:sz w:val="20"/>
                <w:szCs w:val="20"/>
                <w:color w:val="auto"/>
              </w:rPr>
            </w:pPr>
            <w:r>
              <w:rPr>
                <w:rFonts w:ascii="Arial" w:cs="Arial" w:eastAsia="Arial" w:hAnsi="Arial"/>
                <w:sz w:val="13"/>
                <w:szCs w:val="13"/>
                <w:color w:val="0000FF"/>
              </w:rPr>
              <w:t>71,216</w:t>
            </w:r>
          </w:p>
        </w:tc>
        <w:tc>
          <w:tcPr>
            <w:tcW w:w="800" w:type="dxa"/>
            <w:vAlign w:val="bottom"/>
            <w:gridSpan w:val="2"/>
            <w:vMerge w:val="continue"/>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02/16/2019</w:t>
            </w:r>
          </w:p>
        </w:tc>
        <w:tc>
          <w:tcPr>
            <w:tcW w:w="7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20" w:type="dxa"/>
            <w:vAlign w:val="bottom"/>
          </w:tcPr>
          <w:p>
            <w:pPr>
              <w:ind w:left="380"/>
              <w:spacing w:after="0" w:line="132"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Includes shares acquired through a dividend reinvestment plan that were not previously reported.</w:t>
      </w:r>
    </w:p>
    <w:p>
      <w:pPr>
        <w:spacing w:after="0" w:line="51" w:lineRule="exact"/>
        <w:rPr>
          <w:rFonts w:ascii="Arial" w:cs="Arial" w:eastAsia="Arial" w:hAnsi="Arial"/>
          <w:sz w:val="13"/>
          <w:szCs w:val="13"/>
          <w:color w:val="008000"/>
        </w:rPr>
      </w:pPr>
    </w:p>
    <w:p>
      <w:pPr>
        <w:ind w:left="40" w:right="280" w:firstLine="8"/>
        <w:spacing w:after="0" w:line="248"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Disposed of pursuant to a merger agreement between OfficeMax Incorporated (the "Company"), Office Depot, Inc. ("ODP") and their respective subsidiaries, in exchange for 19,918 shares of ODP common stock and 248,161 ODP restricted stock units, on the effective date of the merger (such merger, the "Merger") (in accordance with the exchange ratio set forth in the merger agreement pursuant to which each share of the Company's common stock was exchanged for 2.69 shares of ODP common stock). The closing price of ODP common stock on November 5, 2013 (the effective date of the Merger) was $5.65 per share.</w:t>
      </w:r>
    </w:p>
    <w:p>
      <w:pPr>
        <w:spacing w:after="0" w:line="25" w:lineRule="exact"/>
        <w:rPr>
          <w:rFonts w:ascii="Arial" w:cs="Arial" w:eastAsia="Arial" w:hAnsi="Arial"/>
          <w:sz w:val="13"/>
          <w:szCs w:val="13"/>
          <w:color w:val="008000"/>
        </w:rPr>
      </w:pPr>
    </w:p>
    <w:p>
      <w:pPr>
        <w:ind w:left="40" w:right="440" w:firstLine="8"/>
        <w:spacing w:after="0" w:line="272"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stock option, which provided for vesting in three equal annual installments, on each of the first three anniversaries of its 5/2/2011 grant date, was assumed by ODP in connection with the Merger and replaced with an option to purchase 208,894 shares of ODP common stock for $3.29 per share.</w:t>
      </w:r>
    </w:p>
    <w:p>
      <w:pPr>
        <w:spacing w:after="0" w:line="9" w:lineRule="exact"/>
        <w:rPr>
          <w:rFonts w:ascii="Arial" w:cs="Arial" w:eastAsia="Arial" w:hAnsi="Arial"/>
          <w:sz w:val="13"/>
          <w:szCs w:val="13"/>
          <w:color w:val="008000"/>
        </w:rPr>
      </w:pPr>
    </w:p>
    <w:p>
      <w:pPr>
        <w:ind w:left="40" w:right="360" w:firstLine="8"/>
        <w:spacing w:after="0" w:line="272"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stock option, which provided for vesting in three equal annual installments, on each of the first three anniversaries of its 2/16/2012 grant date, was assumed by ODP in connection with the Merger and replaced with an option to purchase 191,571 shares of ODP common stock for $1.83 per share.</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In connection with the Merger (defined in the footnotes above), Mapleby Holdings Merger Corporation has become the successor registrant to OfficeMax Incorporated.</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w w:val="99"/>
              </w:rPr>
              <w:t>/s/ Susan Wagner-Fleming, by</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11/07/2013</w:t>
            </w:r>
          </w:p>
        </w:tc>
        <w:tc>
          <w:tcPr>
            <w:tcW w:w="0" w:type="dxa"/>
            <w:vAlign w:val="bottom"/>
          </w:tcPr>
          <w:p>
            <w:pPr>
              <w:spacing w:after="0"/>
              <w:rPr>
                <w:sz w:val="1"/>
                <w:szCs w:val="1"/>
                <w:color w:val="auto"/>
              </w:rPr>
            </w:pPr>
          </w:p>
        </w:tc>
      </w:tr>
      <w:tr>
        <w:trPr>
          <w:trHeight w:val="92"/>
        </w:trPr>
        <w:tc>
          <w:tcPr>
            <w:tcW w:w="18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6"/>
              </w:rPr>
              <w:t>POA from Michael Lewis</w:t>
            </w:r>
          </w:p>
        </w:tc>
        <w:tc>
          <w:tcPr>
            <w:tcW w:w="28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20" w:type="dxa"/>
            <w:vAlign w:val="bottom"/>
            <w:tcBorders>
              <w:bottom w:val="single" w:sz="8" w:color="auto"/>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9256" TargetMode="External"/><Relationship Id="rId13" Type="http://schemas.openxmlformats.org/officeDocument/2006/relationships/hyperlink" Target="http://www.sec.gov/cgi-bin/browse-edgar?action=getcompany&amp;CIK=00000129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2019-12-15T23:20:16Z</dcterms:created>
  <dcterms:modified xsi:type="dcterms:W3CDTF">2019-12-15T23:20:16Z</dcterms:modified>
</cp:coreProperties>
</file>