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388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3883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20" w:space="340"/>
            <w:col w:w="886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Broad Matthew R</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MAPLEBY HOLDINGS MERGER Corp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OMX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OFFICEMAX INCORPORATED</w:t>
            </w:r>
          </w:p>
        </w:tc>
        <w:tc>
          <w:tcPr>
            <w:tcW w:w="80" w:type="dxa"/>
            <w:vAlign w:val="bottom"/>
          </w:tcPr>
          <w:p>
            <w:pPr>
              <w:spacing w:after="0"/>
              <w:rPr>
                <w:sz w:val="8"/>
                <w:szCs w:val="8"/>
                <w:color w:val="auto"/>
              </w:rPr>
            </w:pPr>
          </w:p>
        </w:tc>
        <w:tc>
          <w:tcPr>
            <w:tcW w:w="3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continue"/>
          </w:tcPr>
          <w:p>
            <w:pPr>
              <w:spacing w:after="0"/>
              <w:rPr>
                <w:sz w:val="19"/>
                <w:szCs w:val="19"/>
                <w:color w:val="auto"/>
              </w:rPr>
            </w:pPr>
          </w:p>
        </w:tc>
        <w:tc>
          <w:tcPr>
            <w:tcW w:w="3760" w:type="dxa"/>
            <w:vAlign w:val="bottom"/>
            <w:gridSpan w:val="3"/>
          </w:tcPr>
          <w:p>
            <w:pPr>
              <w:ind w:left="160"/>
              <w:spacing w:after="0"/>
              <w:rPr>
                <w:sz w:val="20"/>
                <w:szCs w:val="20"/>
                <w:color w:val="auto"/>
              </w:rPr>
            </w:pPr>
            <w:r>
              <w:rPr>
                <w:rFonts w:ascii="Arial" w:cs="Arial" w:eastAsia="Arial" w:hAnsi="Arial"/>
                <w:sz w:val="17"/>
                <w:szCs w:val="17"/>
                <w:color w:val="0000FF"/>
              </w:rPr>
              <w:t>11/05/2013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263 SHUMAN BLVD.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6"/>
        <w:spacing w:after="0"/>
        <w:rPr>
          <w:sz w:val="20"/>
          <w:szCs w:val="20"/>
          <w:color w:val="auto"/>
        </w:rPr>
      </w:pPr>
      <w:r>
        <w:rPr>
          <w:rFonts w:ascii="Arial" w:cs="Arial" w:eastAsia="Arial" w:hAnsi="Arial"/>
          <w:sz w:val="17"/>
          <w:szCs w:val="17"/>
          <w:color w:val="0000FF"/>
        </w:rPr>
        <w:t>EVP and General Counsel</w:t>
      </w:r>
    </w:p>
    <w:p>
      <w:pPr>
        <w:spacing w:after="0" w:line="408" w:lineRule="exact"/>
        <w:rPr>
          <w:sz w:val="20"/>
          <w:szCs w:val="20"/>
          <w:color w:val="auto"/>
        </w:rPr>
      </w:pPr>
    </w:p>
    <w:p>
      <w:pPr>
        <w:sectPr>
          <w:pgSz w:w="11900" w:h="16838" w:orient="portrait"/>
          <w:cols w:equalWidth="0" w:num="2">
            <w:col w:w="7980" w:space="74"/>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580" w:type="dxa"/>
            <w:vAlign w:val="bottom"/>
            <w:gridSpan w:val="7"/>
          </w:tcPr>
          <w:p>
            <w:pPr>
              <w:jc w:val="center"/>
              <w:ind w:left="73"/>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NAPERVILLE   IL</w:t>
            </w:r>
          </w:p>
        </w:tc>
        <w:tc>
          <w:tcPr>
            <w:tcW w:w="10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60563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84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3"/>
          </w:tcPr>
          <w:p>
            <w:pPr>
              <w:jc w:val="center"/>
              <w:ind w:left="5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93"/>
              </w:rPr>
              <w:t>11/05/2013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jc w:val="center"/>
              <w:ind w:right="156"/>
              <w:spacing w:after="0"/>
              <w:rPr>
                <w:sz w:val="20"/>
                <w:szCs w:val="20"/>
                <w:color w:val="auto"/>
              </w:rPr>
            </w:pPr>
            <w:r>
              <w:rPr>
                <w:rFonts w:ascii="Arial" w:cs="Arial" w:eastAsia="Arial" w:hAnsi="Arial"/>
                <w:sz w:val="17"/>
                <w:szCs w:val="17"/>
                <w:color w:val="0000FF"/>
                <w:w w:val="88"/>
              </w:rPr>
              <w:t>144,456</w:t>
            </w:r>
            <w:r>
              <w:rPr>
                <w:rFonts w:ascii="Arial" w:cs="Arial" w:eastAsia="Arial" w:hAnsi="Arial"/>
                <w:sz w:val="22"/>
                <w:szCs w:val="22"/>
                <w:color w:val="008000"/>
                <w:w w:val="88"/>
                <w:vertAlign w:val="superscript"/>
              </w:rPr>
              <w:t>(1)</w:t>
            </w:r>
          </w:p>
        </w:tc>
        <w:tc>
          <w:tcPr>
            <w:tcW w:w="2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3"/>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00" w:type="dxa"/>
            <w:vAlign w:val="bottom"/>
            <w:gridSpan w:val="5"/>
          </w:tcPr>
          <w:p>
            <w:pPr>
              <w:ind w:left="60"/>
              <w:spacing w:after="0"/>
              <w:rPr>
                <w:sz w:val="20"/>
                <w:szCs w:val="20"/>
                <w:color w:val="auto"/>
              </w:rPr>
            </w:pPr>
            <w:r>
              <w:rPr>
                <w:rFonts w:ascii="Arial" w:cs="Arial" w:eastAsia="Arial" w:hAnsi="Arial"/>
                <w:sz w:val="17"/>
                <w:szCs w:val="17"/>
                <w:color w:val="0000FF"/>
                <w:w w:val="93"/>
              </w:rPr>
              <w:t>Series D Convertible Preferred Stock</w:t>
            </w:r>
          </w:p>
        </w:tc>
        <w:tc>
          <w:tcPr>
            <w:tcW w:w="1840" w:type="dxa"/>
            <w:vAlign w:val="bottom"/>
            <w:gridSpan w:val="3"/>
          </w:tcPr>
          <w:p>
            <w:pPr>
              <w:jc w:val="center"/>
              <w:ind w:left="528"/>
              <w:spacing w:after="0"/>
              <w:rPr>
                <w:sz w:val="20"/>
                <w:szCs w:val="20"/>
                <w:color w:val="auto"/>
              </w:rPr>
            </w:pPr>
            <w:r>
              <w:rPr>
                <w:rFonts w:ascii="Arial" w:cs="Arial" w:eastAsia="Arial" w:hAnsi="Arial"/>
                <w:sz w:val="17"/>
                <w:szCs w:val="17"/>
                <w:color w:val="0000FF"/>
                <w:w w:val="93"/>
              </w:rPr>
              <w:t>11/05/2013</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60"/>
              <w:spacing w:after="0" w:line="214"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(3)</w:t>
            </w:r>
          </w:p>
        </w:tc>
        <w:tc>
          <w:tcPr>
            <w:tcW w:w="160" w:type="dxa"/>
            <w:vAlign w:val="bottom"/>
          </w:tcPr>
          <w:p>
            <w:pPr>
              <w:spacing w:after="0"/>
              <w:rPr>
                <w:sz w:val="18"/>
                <w:szCs w:val="18"/>
                <w:color w:val="auto"/>
              </w:rPr>
            </w:pPr>
          </w:p>
        </w:tc>
        <w:tc>
          <w:tcPr>
            <w:tcW w:w="620" w:type="dxa"/>
            <w:vAlign w:val="bottom"/>
          </w:tcPr>
          <w:p>
            <w:pPr>
              <w:jc w:val="center"/>
              <w:ind w:left="146"/>
              <w:spacing w:after="0"/>
              <w:rPr>
                <w:sz w:val="20"/>
                <w:szCs w:val="20"/>
                <w:color w:val="auto"/>
              </w:rPr>
            </w:pPr>
            <w:r>
              <w:rPr>
                <w:rFonts w:ascii="Arial" w:cs="Arial" w:eastAsia="Arial" w:hAnsi="Arial"/>
                <w:sz w:val="17"/>
                <w:szCs w:val="17"/>
                <w:color w:val="0000FF"/>
                <w:w w:val="93"/>
              </w:rPr>
              <w:t>2,539</w:t>
            </w:r>
          </w:p>
        </w:tc>
        <w:tc>
          <w:tcPr>
            <w:tcW w:w="4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0000FF"/>
              </w:rPr>
              <w:t>D</w:t>
            </w:r>
          </w:p>
        </w:tc>
        <w:tc>
          <w:tcPr>
            <w:tcW w:w="520" w:type="dxa"/>
            <w:vAlign w:val="bottom"/>
          </w:tcPr>
          <w:p>
            <w:pPr>
              <w:ind w:left="34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center"/>
              <w:ind w:right="49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center"/>
              <w:ind w:left="528"/>
              <w:spacing w:after="0"/>
              <w:rPr>
                <w:sz w:val="20"/>
                <w:szCs w:val="20"/>
                <w:color w:val="auto"/>
              </w:rPr>
            </w:pPr>
            <w:r>
              <w:rPr>
                <w:rFonts w:ascii="Arial" w:cs="Arial" w:eastAsia="Arial" w:hAnsi="Arial"/>
                <w:sz w:val="17"/>
                <w:szCs w:val="17"/>
                <w:color w:val="0000FF"/>
                <w:w w:val="93"/>
              </w:rPr>
              <w:t>11/05/2013</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60"/>
              <w:spacing w:after="0" w:line="214"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(3)</w:t>
            </w:r>
          </w:p>
        </w:tc>
        <w:tc>
          <w:tcPr>
            <w:tcW w:w="160" w:type="dxa"/>
            <w:vAlign w:val="bottom"/>
          </w:tcPr>
          <w:p>
            <w:pPr>
              <w:spacing w:after="0"/>
              <w:rPr>
                <w:sz w:val="18"/>
                <w:szCs w:val="18"/>
                <w:color w:val="auto"/>
              </w:rPr>
            </w:pPr>
          </w:p>
        </w:tc>
        <w:tc>
          <w:tcPr>
            <w:tcW w:w="620" w:type="dxa"/>
            <w:vAlign w:val="bottom"/>
          </w:tcPr>
          <w:p>
            <w:pPr>
              <w:jc w:val="center"/>
              <w:ind w:left="146"/>
              <w:spacing w:after="0"/>
              <w:rPr>
                <w:sz w:val="20"/>
                <w:szCs w:val="20"/>
                <w:color w:val="auto"/>
              </w:rPr>
            </w:pPr>
            <w:r>
              <w:rPr>
                <w:rFonts w:ascii="Arial" w:cs="Arial" w:eastAsia="Arial" w:hAnsi="Arial"/>
                <w:sz w:val="17"/>
                <w:szCs w:val="17"/>
                <w:color w:val="0000FF"/>
                <w:w w:val="93"/>
              </w:rPr>
              <w:t>7,626</w:t>
            </w:r>
          </w:p>
        </w:tc>
        <w:tc>
          <w:tcPr>
            <w:tcW w:w="4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0000FF"/>
              </w:rPr>
              <w:t>A</w:t>
            </w:r>
          </w:p>
        </w:tc>
        <w:tc>
          <w:tcPr>
            <w:tcW w:w="520" w:type="dxa"/>
            <w:vAlign w:val="bottom"/>
          </w:tcPr>
          <w:p>
            <w:pPr>
              <w:ind w:left="340"/>
              <w:spacing w:after="0"/>
              <w:rPr>
                <w:sz w:val="20"/>
                <w:szCs w:val="20"/>
                <w:color w:val="auto"/>
              </w:rPr>
            </w:pPr>
            <w:r>
              <w:rPr>
                <w:rFonts w:ascii="Arial" w:cs="Arial" w:eastAsia="Arial" w:hAnsi="Arial"/>
                <w:sz w:val="11"/>
                <w:szCs w:val="11"/>
                <w:color w:val="008000"/>
              </w:rPr>
              <w:t>(3)</w:t>
            </w:r>
          </w:p>
        </w:tc>
        <w:tc>
          <w:tcPr>
            <w:tcW w:w="1440" w:type="dxa"/>
            <w:vAlign w:val="bottom"/>
            <w:gridSpan w:val="4"/>
          </w:tcPr>
          <w:p>
            <w:pPr>
              <w:jc w:val="center"/>
              <w:ind w:left="74"/>
              <w:spacing w:after="0"/>
              <w:rPr>
                <w:sz w:val="20"/>
                <w:szCs w:val="20"/>
                <w:color w:val="auto"/>
              </w:rPr>
            </w:pPr>
            <w:r>
              <w:rPr>
                <w:rFonts w:ascii="Arial" w:cs="Arial" w:eastAsia="Arial" w:hAnsi="Arial"/>
                <w:sz w:val="17"/>
                <w:szCs w:val="17"/>
                <w:color w:val="0000FF"/>
                <w:w w:val="89"/>
              </w:rPr>
              <w:t>7,626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center"/>
              <w:ind w:left="528"/>
              <w:spacing w:after="0"/>
              <w:rPr>
                <w:sz w:val="20"/>
                <w:szCs w:val="20"/>
                <w:color w:val="auto"/>
              </w:rPr>
            </w:pPr>
            <w:r>
              <w:rPr>
                <w:rFonts w:ascii="Arial" w:cs="Arial" w:eastAsia="Arial" w:hAnsi="Arial"/>
                <w:sz w:val="17"/>
                <w:szCs w:val="17"/>
                <w:color w:val="0000FF"/>
                <w:w w:val="93"/>
              </w:rPr>
              <w:t>11/05/2013</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6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18"/>
                <w:szCs w:val="18"/>
                <w:color w:val="auto"/>
              </w:rPr>
            </w:pPr>
          </w:p>
        </w:tc>
        <w:tc>
          <w:tcPr>
            <w:tcW w:w="620" w:type="dxa"/>
            <w:vAlign w:val="bottom"/>
          </w:tcPr>
          <w:p>
            <w:pPr>
              <w:jc w:val="center"/>
              <w:ind w:left="146"/>
              <w:spacing w:after="0"/>
              <w:rPr>
                <w:sz w:val="20"/>
                <w:szCs w:val="20"/>
                <w:color w:val="auto"/>
              </w:rPr>
            </w:pPr>
            <w:r>
              <w:rPr>
                <w:rFonts w:ascii="Arial" w:cs="Arial" w:eastAsia="Arial" w:hAnsi="Arial"/>
                <w:sz w:val="17"/>
                <w:szCs w:val="17"/>
                <w:color w:val="0000FF"/>
                <w:w w:val="93"/>
              </w:rPr>
              <w:t>7,626</w:t>
            </w:r>
          </w:p>
        </w:tc>
        <w:tc>
          <w:tcPr>
            <w:tcW w:w="4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0000FF"/>
              </w:rPr>
              <w:t>D</w:t>
            </w:r>
          </w:p>
        </w:tc>
        <w:tc>
          <w:tcPr>
            <w:tcW w:w="520" w:type="dxa"/>
            <w:vAlign w:val="bottom"/>
          </w:tcPr>
          <w:p>
            <w:pPr>
              <w:ind w:left="34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center"/>
              <w:ind w:right="49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3"/>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1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55,492</w:t>
            </w:r>
          </w:p>
        </w:tc>
        <w:tc>
          <w:tcPr>
            <w:tcW w:w="720" w:type="dxa"/>
            <w:vAlign w:val="bottom"/>
            <w:gridSpan w:val="3"/>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4.24</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55,492</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02/12/2016</w:t>
            </w:r>
          </w:p>
        </w:tc>
        <w:tc>
          <w:tcPr>
            <w:tcW w:w="6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ind w:left="120"/>
              <w:spacing w:after="0" w:line="148" w:lineRule="exact"/>
              <w:rPr>
                <w:sz w:val="20"/>
                <w:szCs w:val="20"/>
                <w:color w:val="auto"/>
              </w:rPr>
            </w:pPr>
            <w:r>
              <w:rPr>
                <w:rFonts w:ascii="Arial" w:cs="Arial" w:eastAsia="Arial" w:hAnsi="Arial"/>
                <w:sz w:val="13"/>
                <w:szCs w:val="13"/>
                <w:color w:val="0000FF"/>
                <w:w w:val="85"/>
              </w:rPr>
              <w:t>Stock</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36,539</w:t>
            </w:r>
          </w:p>
        </w:tc>
        <w:tc>
          <w:tcPr>
            <w:tcW w:w="720" w:type="dxa"/>
            <w:vAlign w:val="bottom"/>
            <w:gridSpan w:val="3"/>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12.82</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36,539</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02/11/2017</w:t>
            </w:r>
          </w:p>
        </w:tc>
        <w:tc>
          <w:tcPr>
            <w:tcW w:w="6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ind w:left="120"/>
              <w:spacing w:after="0" w:line="148" w:lineRule="exact"/>
              <w:rPr>
                <w:sz w:val="20"/>
                <w:szCs w:val="20"/>
                <w:color w:val="auto"/>
              </w:rPr>
            </w:pPr>
            <w:r>
              <w:rPr>
                <w:rFonts w:ascii="Arial" w:cs="Arial" w:eastAsia="Arial" w:hAnsi="Arial"/>
                <w:sz w:val="13"/>
                <w:szCs w:val="13"/>
                <w:color w:val="0000FF"/>
                <w:w w:val="85"/>
              </w:rPr>
              <w:t>Stock</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28,392</w:t>
            </w:r>
          </w:p>
        </w:tc>
        <w:tc>
          <w:tcPr>
            <w:tcW w:w="720" w:type="dxa"/>
            <w:vAlign w:val="bottom"/>
            <w:gridSpan w:val="3"/>
            <w:vMerge w:val="restart"/>
          </w:tcPr>
          <w:p>
            <w:pPr>
              <w:ind w:left="340"/>
              <w:spacing w:after="0"/>
              <w:rPr>
                <w:sz w:val="20"/>
                <w:szCs w:val="20"/>
                <w:color w:val="auto"/>
              </w:rPr>
            </w:pPr>
            <w:r>
              <w:rPr>
                <w:rFonts w:ascii="Arial" w:cs="Arial" w:eastAsia="Arial" w:hAnsi="Arial"/>
                <w:sz w:val="11"/>
                <w:szCs w:val="11"/>
                <w:color w:val="008000"/>
              </w:rPr>
              <w:t>(7)</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14.89</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28,392</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02/09/2018</w:t>
            </w:r>
          </w:p>
        </w:tc>
        <w:tc>
          <w:tcPr>
            <w:tcW w:w="6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ind w:left="120"/>
              <w:spacing w:after="0" w:line="148" w:lineRule="exact"/>
              <w:rPr>
                <w:sz w:val="20"/>
                <w:szCs w:val="20"/>
                <w:color w:val="auto"/>
              </w:rPr>
            </w:pPr>
            <w:r>
              <w:rPr>
                <w:rFonts w:ascii="Arial" w:cs="Arial" w:eastAsia="Arial" w:hAnsi="Arial"/>
                <w:sz w:val="13"/>
                <w:szCs w:val="13"/>
                <w:color w:val="0000FF"/>
                <w:w w:val="85"/>
              </w:rPr>
              <w:t>Stock</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53,412</w:t>
            </w:r>
          </w:p>
        </w:tc>
        <w:tc>
          <w:tcPr>
            <w:tcW w:w="720" w:type="dxa"/>
            <w:vAlign w:val="bottom"/>
            <w:gridSpan w:val="3"/>
            <w:vMerge w:val="restart"/>
          </w:tcPr>
          <w:p>
            <w:pPr>
              <w:ind w:left="340"/>
              <w:spacing w:after="0"/>
              <w:rPr>
                <w:sz w:val="20"/>
                <w:szCs w:val="20"/>
                <w:color w:val="auto"/>
              </w:rPr>
            </w:pPr>
            <w:r>
              <w:rPr>
                <w:rFonts w:ascii="Arial" w:cs="Arial" w:eastAsia="Arial" w:hAnsi="Arial"/>
                <w:sz w:val="11"/>
                <w:szCs w:val="11"/>
                <w:color w:val="008000"/>
              </w:rPr>
              <w:t>(8)</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4.92</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53,412</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02/16/2019</w:t>
            </w:r>
          </w:p>
        </w:tc>
        <w:tc>
          <w:tcPr>
            <w:tcW w:w="6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20" w:type="dxa"/>
            <w:vAlign w:val="bottom"/>
          </w:tcPr>
          <w:p>
            <w:pPr>
              <w:ind w:left="4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ind w:left="120"/>
              <w:spacing w:after="0" w:line="148" w:lineRule="exact"/>
              <w:rPr>
                <w:sz w:val="20"/>
                <w:szCs w:val="20"/>
                <w:color w:val="auto"/>
              </w:rPr>
            </w:pPr>
            <w:r>
              <w:rPr>
                <w:rFonts w:ascii="Arial" w:cs="Arial" w:eastAsia="Arial" w:hAnsi="Arial"/>
                <w:sz w:val="13"/>
                <w:szCs w:val="13"/>
                <w:color w:val="0000FF"/>
                <w:w w:val="85"/>
              </w:rPr>
              <w:t>Stock</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shares acquired through a dividend reinvestment plan that were not previously reported.</w:t>
      </w:r>
    </w:p>
    <w:p>
      <w:pPr>
        <w:spacing w:after="0" w:line="51" w:lineRule="exact"/>
        <w:rPr>
          <w:rFonts w:ascii="Arial" w:cs="Arial" w:eastAsia="Arial" w:hAnsi="Arial"/>
          <w:sz w:val="13"/>
          <w:szCs w:val="13"/>
          <w:color w:val="008000"/>
        </w:rPr>
      </w:pPr>
    </w:p>
    <w:p>
      <w:pPr>
        <w:ind w:left="40" w:right="22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a merger agreement between OfficeMax Incorporated (the "Company"), Office Depot, Inc. ("ODP") and their respective subsidiaries, in exchange for 178,738 shares of ODP common stock and 209,850 ODP restricted stock units, on the effective date of the merger (such merger,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25" w:lineRule="exact"/>
        <w:rPr>
          <w:rFonts w:ascii="Arial" w:cs="Arial" w:eastAsia="Arial" w:hAnsi="Arial"/>
          <w:sz w:val="13"/>
          <w:szCs w:val="13"/>
          <w:color w:val="008000"/>
        </w:rPr>
      </w:pPr>
    </w:p>
    <w:p>
      <w:pPr>
        <w:ind w:left="40" w:right="420" w:firstLine="8"/>
        <w:spacing w:after="0" w:line="314" w:lineRule="auto"/>
        <w:tabs>
          <w:tab w:leader="none" w:pos="17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Certificate of Designation of Convertible Preferred Stock, Series D, each share of OfficeMax Series D Convertible Preferred Stock was redeemed on November 5, 2013, following the redemption date of November 4, 2013, for a redemption price of $45.00 per share, plus all accrued and unpaid dividends thereon. The redemption price was paid in shares of Company common stock, which</w:t>
      </w:r>
    </w:p>
    <w:p>
      <w:pPr>
        <w:sectPr>
          <w:pgSz w:w="11900" w:h="16838" w:orient="portrait"/>
          <w:cols w:equalWidth="0" w:num="1">
            <w:col w:w="11520"/>
          </w:cols>
          <w:pgMar w:left="240" w:top="225" w:right="139" w:bottom="0" w:gutter="0" w:footer="0" w:header="0"/>
          <w:type w:val="continuous"/>
        </w:sectPr>
      </w:pPr>
    </w:p>
    <w:bookmarkStart w:id="1" w:name="page2"/>
    <w:bookmarkEnd w:id="1"/>
    <w:p>
      <w:pPr>
        <w:ind w:right="20"/>
        <w:spacing w:after="0" w:line="272" w:lineRule="auto"/>
        <w:rPr>
          <w:sz w:val="20"/>
          <w:szCs w:val="20"/>
          <w:color w:val="auto"/>
        </w:rPr>
      </w:pPr>
      <w:r>
        <w:rPr>
          <w:rFonts w:ascii="Arial" w:cs="Arial" w:eastAsia="Arial" w:hAnsi="Arial"/>
          <w:sz w:val="13"/>
          <w:szCs w:val="13"/>
          <w:color w:val="008000"/>
        </w:rPr>
        <w:t>were valued for such purposes at their Fair Market Value as of the redemption date (as defined in the Certificate of Designation), or $15.415 per share. The reporting person received 7,626 shares of OfficeMax common stock in connection with the redemption of his OfficeMax Series D Convertible Preferred Stock.</w:t>
      </w:r>
    </w:p>
    <w:p>
      <w:pPr>
        <w:spacing w:after="0" w:line="10" w:lineRule="exact"/>
        <w:rPr>
          <w:sz w:val="20"/>
          <w:szCs w:val="20"/>
          <w:color w:val="auto"/>
        </w:rPr>
      </w:pPr>
    </w:p>
    <w:p>
      <w:pPr>
        <w:ind w:firstLine="8"/>
        <w:spacing w:after="0" w:line="254"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Disposed of pursuant to a merger agreement between the Company, ODP and their respective subsidiaries, in exchange for 20,514 shares of ODP common stock, on the effective date of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21" w:lineRule="exact"/>
        <w:rPr>
          <w:rFonts w:ascii="Arial" w:cs="Arial" w:eastAsia="Arial" w:hAnsi="Arial"/>
          <w:sz w:val="13"/>
          <w:szCs w:val="13"/>
          <w:color w:val="008000"/>
        </w:rPr>
      </w:pPr>
    </w:p>
    <w:p>
      <w:pPr>
        <w:ind w:right="10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2/12/2009 grant date, was assumed by ODP in connection with the Merger and replaced with an option to purchase 149,273 shares of ODP common stock for $1.58 per share.</w:t>
      </w:r>
    </w:p>
    <w:p>
      <w:pPr>
        <w:spacing w:after="0" w:line="9" w:lineRule="exact"/>
        <w:rPr>
          <w:rFonts w:ascii="Arial" w:cs="Arial" w:eastAsia="Arial" w:hAnsi="Arial"/>
          <w:sz w:val="13"/>
          <w:szCs w:val="13"/>
          <w:color w:val="008000"/>
        </w:rPr>
      </w:pPr>
    </w:p>
    <w:p>
      <w:pPr>
        <w:ind w:right="12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2/11/2010 grant date, was assumed by ODP in connection with the Merger and replaced with an option to purchase 98,289 shares of ODP common stock for $4.77 per share.</w:t>
      </w:r>
    </w:p>
    <w:p>
      <w:pPr>
        <w:spacing w:after="0" w:line="9" w:lineRule="exact"/>
        <w:rPr>
          <w:rFonts w:ascii="Arial" w:cs="Arial" w:eastAsia="Arial" w:hAnsi="Arial"/>
          <w:sz w:val="13"/>
          <w:szCs w:val="13"/>
          <w:color w:val="008000"/>
        </w:rPr>
      </w:pPr>
    </w:p>
    <w:p>
      <w:pPr>
        <w:ind w:right="18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2/9/2011 grant date, was assumed by ODP in connection with the Merger and replaced with an option to purchase 76,374 shares of ODP common stock for $5.54 per share.</w:t>
      </w:r>
    </w:p>
    <w:p>
      <w:pPr>
        <w:spacing w:after="0" w:line="9" w:lineRule="exact"/>
        <w:rPr>
          <w:rFonts w:ascii="Arial" w:cs="Arial" w:eastAsia="Arial" w:hAnsi="Arial"/>
          <w:sz w:val="13"/>
          <w:szCs w:val="13"/>
          <w:color w:val="008000"/>
        </w:rPr>
      </w:pPr>
    </w:p>
    <w:p>
      <w:pPr>
        <w:ind w:right="100" w:firstLine="8"/>
        <w:spacing w:after="0" w:line="272" w:lineRule="auto"/>
        <w:tabs>
          <w:tab w:leader="none" w:pos="134"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2/16/2012 grant date, was assumed by ODP in connection with the Merger and replaced with an option to purchase 143,678 shares of ODP common stock for $1.83 per share.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008000"/>
        </w:rPr>
        <w:t>In connection with the Merger (defined in the footnotes above), Mapleby Holdings Merger Corporation has become the successor registrant to OfficeMax Incorporated.</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/s/ Susan Wagner-Fleming,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11/07/2013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w w:val="96"/>
              </w:rPr>
              <w:t>POA from Matthew R. Broad</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480" w:firstLine="8"/>
        <w:spacing w:after="0" w:line="321" w:lineRule="auto"/>
        <w:tabs>
          <w:tab w:leader="none" w:pos="14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780" TargetMode="External"/><Relationship Id="rId13" Type="http://schemas.openxmlformats.org/officeDocument/2006/relationships/hyperlink" Target="http://www.sec.gov/cgi-bin/browse-edgar?action=getcompany&amp;CIK=000001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2019-12-15T23:29:13Z</dcterms:created>
  <dcterms:modified xsi:type="dcterms:W3CDTF">2019-12-15T23:29:13Z</dcterms:modified>
</cp:coreProperties>
</file>